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389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abril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Con fecha 8 de marzo de 1986 quedó registrado en este Tribunal un escrito mediante el cual don Mohamed Khair Abbas Rahal, carente de la representación y defensa, afirmaba su voluntad de interponer recurso de amparo constitucional contra las sentencias de 25 de febrero de 1986 y de 22 de junio de 1985 dictadas, respectivamente, por la Sala Segunda del Tribunal Supremo y por la Sala de lo Penal de la Audiencia Nacional, formulando la petición de que se le designase Procurador y Letrado del turno de oficio a los efectos de interponer la demanda.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Tras normbrársele Procurador y Abogado del referido turno de oficio, los designados formalizaron las demandas de amparo y de justicia gratuita, formándose la correspondiente pieza separada para sustanciar la segunda. En ella se afirmaba la carencia de bienes y de arraigo en España, del demandante, y la declaración de insolvencia parcial del mismo declarada en la vía judicial.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De la demanda incidental se dio traslado al Letrado del Estado, que nada opuso a su estimación, y al Ministerio Fiscal quien interesó una información complementaria que se recabó del Juzgado Central de Instrucción número 1, tras de lo cual mostró dicho Ministerio su conformidad a la estimación de la demanda incidental.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Único.- De las actuaciones aparece que el demandante carece de bienes e ingresos y que la cantidad por la que aparece solvente parcial está depositada y efecta a posibles responsabilidades civiles; hallándose, en consecuencia, en el supuesto previsto por el artículo 14 de la Ley de Enjuiciamiento Civil.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 la Sección ha acordado otorgar al demandante el beneficio de gratuidad para litigar en este proceso de amparo.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uno de abril de mil novecientos ochenta y siete.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