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390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 de abril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Con fecha 8 de marzo de 1986 quedó registrado en este Tribunal un escrito mediante el cual don Mustafá Ali Khalil, carente de la representación y defensa, afirmaba su voluntad de interponer recurso de amparo constitucional contra las Sentencias de 25 de febrero de 1986 y de 22 de junio de 1985 dictadas, respectivamente, por la Sala Segunda del Tribunal Supremo y por la Sala de lo Penal de la Audiencia Nacional, formulando la petición de que se le designase Procurador y Letrado del turno de oficio a los efectos de interponer la demanda.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Tras nombrársele Procurador y Abogado del referido turno de oficio, los designados formalizaron las demandas de amparo y de justicia gratuita, formándose la correspondiente pieza separada para sustanciar la segunda. En ella se afirmaba la carencia de bienes y de arraigo en España, del demandante, y la declaración de insolvencia parcial del mismo declarada en la vía judicial.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3. De la demanda incidental se dio traslado al Letrado del Estado, que nada opuso a su estimación, y al Ministerio Fiscal quien interesó una información complementaria que se recabó del Juzgado Central de Instrucción número 1, tras de lo cual mostró dicho Ministerio su conformidad a la estimación de la demanda incidental.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Unico.- De las actuaciones aparece que el demandante carece de bienes e ingresos y que la cantidad por la que aparece solvente parcial está depositada y afecta a posibles responsabilidades civiles; hallándose, en consecuencia, en el supuesto previsto por el artículo 14 de la Ley de Enjuiciamiento Civil.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Por lo expuesto la Sección ha acordado otorgar al demandante el beneficio de gratuidad para litigar en este proceso de amparo.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uno de abril de mil novecientos ochenta y siete.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