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17 de julio de 1986, don Juan Luis Rodríguez Luque manifiesta su voluntad de interponer recurso de amparo con relación al Acuerdo adoptado el día 15 de enero de 1986 por el Consejo Nacional de Objeción de Conciencia, en el que este órgano -según cita que hace el interesado- se abstuvo de resolver sobre el reconocimiento del Sr. Rodríguez Luque como objetor de conciencia "por tener cum plidos los 34 años de edad", conforme al apartado 3º del artículo 1º de la Ley 48/1984, de 26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presentado ante este Tribunal no existe, en rigor, relato fáctico ni fundamentación jurídica que puedan calificarse de tales, limitándose el interesado a oponer a la resolución en su día adoptada por el Consejo nacional de Objeción de Conciencia diferentes argumentaciones: que con fecha 29 de diciembre de 1984 -antes de haber cumplido los 34 años de edad- se había declarado objetor de conciencia ante el Ministerio de Defensa; que, habiendo realizado ya el Servicio Militar, se le notificó, los días 31 de enero y 10 de febrero de 1986,que habría de "pasar a recoger la Cartilla del Servicio Militar" y que ésta "debe permanecer siempre en poder del titular", debiendo pasar quienes pertenezcan a la Escala de Complemento la revista correspondiente a los 44 y 50 años de edad, todo lo cual -dice- "está en contradicción con el derecho a ser reconocido como objetor de conciencia"; que antes de haber cumplido los 34 años no pudo deducir su petición ante el Consejo Nacional de Objeción de Conciencia por no estar aún constituido este órgano ni reglamentado el procedimiento para la solicitud, y que, en fin, el hecho de no haber sido reconocido como objetor "va en contra del -principio expresado en el art. 14 de nuestra Constitución". Cierra el actor su escrito -al que califica de "recurso de amparo" recabando su derecho a ser reconocido como objetor de conciencia.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30 de julio de 1986, la Sección 3ª (Sala Segunda) de este Tribunal acuerda, en virtud de lo dispuesto en el artículo 85.2 de la Ley Orgánica del Tribunal Constitucional (L.O.T.C.), conceder al recurrente un plazo de diez días, a fin de que, dentro del mismo, subsane la falta de postulación y comparezca representado por Procurador y dirigido por Letrado, según lo preceptuado en el artículo 81.1 de la mencionada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Habiendo transcurrido el plazo concedido sin que el interesado subsane la falta de postulación, la Sección, por providencia de 15 de octubre de 1986, acuerda abrir el trámite de inadmisión previsto en el artículo 50 de la L.O.T.C. y otorgar al interesado y al Ministerio Fiscal un plazo común de diez días, a fin de que aleguen lo que estimen pertinente en relación con el motivo de inadmisión previsto en el artículo 50.1.b) en conexión con el 81.1,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24 de octubre de 1986, manifiesta que el recurrente viene por sí ante este Tri bunal sin alegar que sea licenciado en Derecho, por lo que incum</w:t>
      </w:r>
    </w:p>
    <w:p w:rsidRPr="00C21FFE" w:rsidR="00AD51A7" w:rsidRDefault="008777C4">
      <w:pPr>
        <w:rPr/>
      </w:pPr>
      <w:r w:rsidRPr="&lt;w:rPr xmlns:w=&quot;http://schemas.openxmlformats.org/wordprocessingml/2006/main&quot;&gt;&lt;w:lang w:val=&quot;es-ES_tradnl&quot; /&gt;&lt;/w:rPr&gt;">
        <w:rPr/>
        <w:t xml:space="preserve">pie los requisitos establecidos en el artículo 81.1 de la L.O.T.C. y procede, en consecuencia, la inadmisión del recurso.</w:t>
      </w:r>
    </w:p>
    <w:p w:rsidRPr="00C21FFE" w:rsidR="00AD51A7" w:rsidRDefault="008777C4">
      <w:pPr>
        <w:rPr/>
      </w:pPr>
      <w:r w:rsidRPr="&lt;w:rPr xmlns:w=&quot;http://schemas.openxmlformats.org/wordprocessingml/2006/main&quot;&gt;&lt;w:lang w:val=&quot;es-ES_tradnl&quot; /&gt;&lt;/w:rPr&gt;">
        <w:rPr/>
        <w:t xml:space="preserve">Transcurrido con exceso el plazo concedido, el recu rrente no ha formulado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81.1 de la L.O.T.C. establece que las personas a quienes su interés legitime para comparecer como actoras en los procesos constitucionales deberán, con excepción de las que posean título de Licenciado en Derecho, conferir su representación a un Procurador y actuar bajo la dirección de Letrado. Y el artículo 50.1.b) de la misma Ley señala que el incumplimiento de los requisitos legales en las demandas de amparo constituye una causa de inadmisión de las mismas.</w:t>
      </w:r>
    </w:p>
    <w:p w:rsidRPr="00C21FFE" w:rsidR="00AD51A7" w:rsidRDefault="008777C4">
      <w:pPr>
        <w:rPr/>
      </w:pPr>
      <w:r w:rsidRPr="&lt;w:rPr xmlns:w=&quot;http://schemas.openxmlformats.org/wordprocessingml/2006/main&quot;&gt;&lt;w:lang w:val=&quot;es-ES_tradnl&quot; /&gt;&lt;/w:rPr&gt;">
        <w:rPr/>
        <w:t xml:space="preserve">En el presente caso, habiéndose puesto de manifiesto al recurrente en amparo el defecto en que incurría su demanda al no comparecer representado por Procurador y asistido de Letrado, dejó, sin embargo, transcurrir el plazo otorgado sin proceder a su subsanación y, posteriormente, abierto el trámite de inadmisión, no formuló alegación alguna. Es, pues, manifiesto que en dicha demanda concurre la causa de inadmisibilidad prevista en el artículo 50.1.b) en conexión con el 81.1,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formulado por don Juan Luis Rodríguez Luque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