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 Administrativo de la Audiencia Territorial de Pamplona, en su recurso 819/85, planteó la presente cuestión de inconstitucionalidad, admitida a trámite por providencia de 22 de abril de 1987, de la Sección Cuarta del Pleno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 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 446 y 447, todas ellas de 1985, fueron acumuladas por auto del Pleno de 16 de julio de 1985,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956, 1019, 1033, 1061, 1088, 1139, 1159, 1177, 1178, 1182, 1203, 1204, y 1205 de 1985, y 75, 76, 77, 78, 79, 80, 81, 93, 94, 95, 145, 146, 246, 248, 311, 424, 432, 433, 434, 455, 459, 460, 475, 550, 568, 572, 644, 664, 698, 718, 753, 754, 864, 865, 929, 993, 1082, 1094, 1115, 1116, 1117, 1118, 1119, 1190, 1236, 1249 y 1303 de 1986 y 116, 188 y 310 de 1987,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Letrado del Estado se persona mediante escrito presentado el 8 de mayo último, solicitando, por medio de otrosí, que se suspenda la tramitación de la presente cuestión hasta que recaiga sentencia sobre las que, con el mismo objeto, han sido acumuladas por el Tribunal.</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12 de mayo último, en solicitud de que se suspenda la tramitación de la presente cuestión hasta que recaiga sentencia en las varias acumuladas que están en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