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Thierry García, el 6 de agosto de 1986, presentó escrito interesando nombramiento de Abogado y Procurador del turno de oficio y se tuviera «por solicitado recurso de amparo» contra Auto del Pleno de la Sala de lo Penal de la Audiencia Nacional, de 24 de junio de 1986, por el que se desestimaba recurso de súplica interpuesto contra anterior Auto dictado por la Sección Tercera de la misma Sala el 28 de mayo del mismo año, que acordó acceder a la ampliación de la extradición formulada por la Embajada de Francia mediante Nota verbal 568/85 respecto al ciudadano francés Baroudi Bacha, para ser juzgado por los delitos de homicidio y robo a que se referían los mandamientos de detención de 19 de enero de 1983 del Juzgado de Instrucción de Toulouse, y las Sentencias de 16 de abril de 1985 y 23 de julio de 1985 del Tribunal de Apelación de dicha ciudad y de la Sala de Casación de lo Criminal de París.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Efectuados los nombramientos interesados, por sucesivas providencias de 15 de octubre y 17 de diciembre de 1986, se otorgó plazo de veinte y diez días, respectivamente, para que el Procurador y Letrado formularan la correspondiente demanda con los requisitos del art. 49 de la LOTC. El trámite se evacuó por escrito presentado el 28 de enero de 1987 bajo la dirección letrada del Abogado don Mario Norberto Silva Arriola, actuando con venia otorgada por el designado en el turno de oficio, don Félix Angel Bellón Muñoz. En la demanda se relatan en síntesis los siguientes hechos: a) El promovente del amparo, detenido en España con base en la solicitud de extradición efectuada por Francia en relación con Baroudi Bacha, fue sometido a dos expedientes de extradición de los que, en los correspondientes rollos núms. 71/85 y 1/86, conoció la Sección Tercera de la Sala de lo penal de la Audiencia Nacional. b) El recurrente manifestó llamarse Thierry García y no Baroudi Bacha, aportando al Letrado que entonces se hallaba a cargo de su defensa y que había designado particularmente, don José Emilio Rodríguez-Menéndez, los necesarios elementos para probar su identidad. c) El citado Letrado don José Emilio Rodríguez-Menéndez fue suspendido en el ejercicio de su profesión por un período de dos años y nueve meses en el mes de junio de 1986, en virtud de decisión del Consejo General de la Abogacía (notificada a los órganos jurisdiccionales de Madrid por Acuerdo de la Junta de Gobierno del Colegio de Abogados de 17 de julio de 1986), que hizo extensible a todo el Estado la medida adoptada por el Colegio de Abogados de Vizcaya, por la acumulación de varios expedientes disciplinarios sobre su actuación profesional, y por el Colegio de Abogados de Cantabria. Acuerdos sancionadores que, pese a ser recurridos ante la Administración corporativa y la correspondiente Sala de lo Contencioso-Administrativo de la Audiencia de Bilbao, no habían sido suspendidos en su ejecutividad. d) «A través de doña Carmen Centelles Figueres, que actuó como denunciante», el promovente del amparo formuló denuncia contra su Letrado, don José Emilio Rodríguez-Menéndez, en escrito presentado el 23 de julio de 1986 en el Juzgado de Instrucción en funciones de Guardia, núm. 20, de Madrid, poniendo de manifiesto las irregularidades cometidas en su defensa, sin que obtuvieran respuesta alguna. e) El mismo planteamiento de las deficiencias de su defensa, realizada por un profesional suspendido, se hizo en otro escrito similar. Y la propia Audiencia, debidamente notificada de la inhabilitación del Letrado antes de que el recurrente tuviera conocimiento de ella, nada hizo para regularizar su situación. f) Se invoca en la demanda vulneración del art. 24.1 y 2 de la Constitución y se interesa la nulidad de todos los actos celebrados desde la designación e intervención del Letrado don José Emilio Rodríguez-Menéndez y por ende la celebración de nuevos juicios para debatir la extradición solicitada. Igualmente la suspensión de la ejecución de la extradición concedida a Francia «que momentáneamente se encuentra de hecho suspendida por existir dos procesos pendientes en España» contra el recurrente en amparo (diligencias previas 2.381/85 del Juzgado de Instrucción núm. 1 de San Sebastián y 110/85 del Juzgado de San Feliú de Guixols). Por medio de otrosí interesa también del Tribunal Constitucional el recibimiento a prueba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febrero de 1987, la Sección tuvo por formalizada la demanda e hizo saber al Procurador del recurrente la posible concurrencia en la misma de los siguientes motivos de inadmisión: 1) Extemporaneidad de la demanda, al no haberse acreditado la fecha de notificación de la resolución recurrida en amparo, según dispone el art. 50.1 a), en conexión con el 44.2, ambos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2) No haberse invocado formalmente en el proceso el derecho constitucional vulnerado, tan pronto como, una vez conocida la violación, hubiere lugar para ello [art. 44.1 c) de la LOTC]. </w:t>
      </w:r>
    </w:p>
    <w:p w:rsidRPr="00C21FFE" w:rsidR="00AD51A7" w:rsidRDefault="008777C4">
      <w:pPr>
        <w:rPr/>
      </w:pPr>
      <w:r w:rsidRPr="&lt;w:rPr xmlns:w=&quot;http://schemas.openxmlformats.org/wordprocessingml/2006/main&quot;&gt;&lt;w:lang w:val=&quot;es-ES_tradnl&quot; /&gt;&lt;/w:rPr&gt;">
        <w:rPr/>
        <w:t xml:space="preserve">3)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concedió al recurrente y al Ministerio Fiscal un plazo común de diez días, a fin de que dentro del mismo formulasen las alegaciones que estimaren pertinentes. Y en cuanto a la suspensión solicitada en el suplico del escrito de demanda y el recibimiento del recurso a prueba, interesado en el otrosí, se acordó una vez se decida sobre la admisión a trámite del recurso, se acordará lo procedente. </w:t>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23 de febrero de 1987, solicitó la inadmisión de la demanda por concurrir las tres causas de inadmisión señaladas en la providencia de 11 de febrero de 1987: extemporaneidad en la presentación de la demanda, porque los Autos recurridos son de 21 y 24 de junio de 1986 y la demanda se presentó el 6 de agosto siguiente; no invocación en el proceso del derecho constitucional supuestamente vulnerado, conforme resulta de la documentación aportada; y falta de contenido constitucional de la demanda porque la verdadera personalidad del recurrente estuvo acreditada en el proceso según resulta de la simple lectura de las resoluciones impugnadas. </w:t>
      </w:r>
    </w:p>
    <w:p w:rsidRPr="00C21FFE" w:rsidR="00AD51A7" w:rsidRDefault="008777C4">
      <w:pPr>
        <w:rPr/>
      </w:pPr>
      <w:r w:rsidRPr="&lt;w:rPr xmlns:w=&quot;http://schemas.openxmlformats.org/wordprocessingml/2006/main&quot;&gt;&lt;w:lang w:val=&quot;es-ES_tradnl&quot; /&gt;&lt;/w:rPr&gt;">
        <w:rPr/>
        <w:t xml:space="preserve">5. La representación del recurrente, evacuado el traslado por escrito presentado en el Tribunal el 6 de marzo de 1987, alegó que los defectos señalados en la providencia de 11 de febrero de 1987, sobre extemporaneidad en la presentación de la demanda y no invocación ante la Audiencia Nacional del derecho fundamental vulnerado, eran imputables al Letrado que, estando suspendido para el ejercicio profesional, le había asistido con las irregularidades y negligencias que ponía de relieve en su demanda y que le había producido la indefensión que denunciaba con cita del art. 24 de la Constitución, por cuya razón tenía contenido constitucional el problema planteado. Solicitó por todo ello la admisión a trámite de la demanda y que se dictara Sentencia de conformidad con el suplico de la misma, reiterando su petición de que se suspendiera la ejecución de la resolución recurrida y el recibimiento a prueba de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Todas las infracciones que denuncia el recurrente con base en el artículo 24.1 y 2 de la Constitución son imputables, según sus escritos, al Letrado que, libremente designado por él, le asistió en el proceso: a dicho Letrado se debe que la documentación que le entregó para demostrar su verdadera personalidad no surtiera los correspondientes efectos.  Y a él se debe también el retraso en el planteamiento de este recurso de amparo, puesto que no se notificaron a su esposa las resoluciones recurridas hasta el 18 de julio de 1986 (según aparece manuscrito en el Auto de 28 de mayo anterior que acompaña con su escrito de alegaciones). Expone el recurrente que dicho Letrado había sido suspendido en el ejercicio de la profesión en el mes de junio de 1986 y así lo notificó el 17 de julio siguiente el Consejo General de la Abogacía a todos los órganos judiciales, con base en ello y por entender que son nulas todas las actuaciones judiciales practicadas con la asistencia de dicho Letrado, interpone el presente recurso de amparo en el que insiste sobre la falta de identificación de su personalidad y las irregularidades derivadas de estar asistido por un Letrado suspendido en el ejercicio de la profesión.  De este planteamiento que hace el propio recurrente, resultan de aplicación al caso las causas de inadmisión de que fue advertido por la providencia de 11 de febrero de 1987. Con arreglo al art. 44.1 b) de la LOTC, cuando el amparo se interponga contra resoluciones judiciales, la violación de los derechos constitucionales denunciados ha de ser imputable «de modo inmediato y directo a una acción u omisión del órgano judicial con independencia de los hechos que dieron lugar al proceso en que aquéllas se produjeron acerca de los que, en ningún caso, entrará a conocer el Tribunal Constitucional».  Ninguna de las infracciones que denuncia son imputables a la Audiencia Nacional, sino -caso de haberse cometido- al Letrado libremente designado por el recurrente que no se hallaba suspendido para actuar ante la misma hasta el 17 de julio de 1986 y los Autos recurridos son de fecha 28 de mayo y 24 de junio de 1986. Actuó, pues, su Letrado durante el proceso debidamente habilitado, puesto que la inhabilitación que le atribuye el recurrente fue posterior a su actuación profesional en defensa del mismo; de ahí que su demanda incida en los motivos de inadmisión de que fue advertido: extemporaneidad en la presentación de la demanda [art. 50.1 a) de la LOTC], porque el plazo que determina el art. 44.2 de la LOTC ha de contarse desde la notificación de la Sentencia -que no acredita el recurrente- y no desde el tardío conocimiento de las resoluciones por su esposa; porque tampoco justifica la invocación del derecho vulnerado [art. 50.1 b), en relación con 44.1 c), de la citada Ley] ante la Audiencia Nacional en su recurso de súplica resuelto por el Auto recurrido de fecha 24 de junio de 1986; y, finalmente, porque las resoluciones recurridas estiman identificada la personalidad del recurrente, en cuyo hecho no puede entrar este Tribunal por ser de la competencia (art. 117.3 de la Constitución) de los órganos judiciales, concurriendo también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