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683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enero de 1987 tuvo entrada en este Tribunal Constitucional la demanda de amparo interpuesta por Azarmenor, S.A., representada por el Procurador don Pedro Antonio Pradillo Larena, contra el Auto de la Sala Segunda del Tribunal Supremo, de 9 de enero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del Tribunal Supremo desestimó, mediante Auto de 1 de diciembre de 1986, la denuncia formulada por la entidad recurrente contra el Excmo. Sr. Subsecretario del Interior, estimando que los hechos a éste atribuidas no constituían delito. Consecuentemente, la Sala declinó su competencia para conocer de las Diligencias Previas nº 733/1986, incoadas por el Juzgado de Instrucción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interpuso contra dicho Auto recurso de súplica, que fue igualmente desestimado por el dictado el 9 de enero de 1987, por entender que el recurso de súplica no resultaba admisible en razón de lo prescrito por el art. 21 de la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considera que este Auto de 9 de enero de 1987 vulnera su derecho a tutela judicial efectiva de los Jueces y Tribunales, pues, entiende la recurrente, carece de la motivación exigida por el art. 120.3 CE. y el art. 248.2 L.O.P.J. y que estas disposiciones rigen respecto de la regla 1ª del art. 789 L.E.Cr. Estima asimismo la recurrente que se ha vulnerado también el derecho al debido proceso, pues el Tribunal Supremo no habría realizado las medidas interesadas en el escrito que le fue presentado el 11 de abril de 1986. Por otra parte, se alega en la demanda que el Auto recurrido no habría resuelto las cuestiones y habría producido su indefensión al no pronunciarse expresamente sobre las cuestiones referentes al art. 24.1 y 24.2 CE. que la recurrente sometió a consideración del Tribunal en su recurso de súplica. Finalmente la recurrente entiende que se ha vulnerado su derecho a la defensa (art. 24.1) porque careció de posibilidad de contradecir las alegaciones del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marzo de 1987 la Sección puso de manifiesto a la demandante la posible concurrencia de los motivos de inadmisión previstos en los arts. 50.1.a), en relación al 44.2, y 50.2.b) LOTC, acordando al mismo tiempo a ésta y al Ministerio Fiscal un plazo común de diez días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demandante estimó que la demanda fue presentada dentro del plazo legal del art. 44.2 LOTC, pues, afirma, el Auto recurrido es el de fecha 9 de enero de 1987 y el recurso tuvo entrada el 31 del mismo mes. En cuanto al motivo previsto en el art. 50.2.b) LOTC, la recurrente insistió en la vulneración de su derecho a la tutela judicial efectiva por carecer el Auto recurrido de fundamentación. Asimismo, agrega, se habría vulnerado el art. 24.1 CE. "al omitir el órgano jurisdiccional el deber de realizar la investigación que el caso requería". Alega asimismo la recurrente que fue privada del derecho de valerse de las pruebas pertinentes (art. 24.1) y del derecho de defensa, pues señaladas en el recurso de súplica violaciones de derechos fundamentales, el Auto recurrido habría "omitido el enjuiciamiento de las infracciones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estimó, por su parte, que la demanda habría sido presentada dentro del plazo legal, ya que -dice- "la resolución judicial que pone término al incidente que aquí se trae es el Auto del T.S. de 9 de enero del corriente año". En cuanto a la vulneración del art. 24.1 CE. por falta de motivación de los Autos recurridos, sostuvo el Fiscal que "no parece que para declinar una competencia" sean necesarios más argumentos que los utilizados por el Tribunal Supremo. Tampoco cabría, según el Fiscal, admitir que ha existido vulneración de norma alguna procesal o constitucional por no haber practicado diligencias de prueba. Finalmente el Fiscal no observa incongruencia alguna entre lo solicitado por la recurrente y lo resuelto por el Auto que el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incurre en el motivo de inadmisión previsto en el art. 50.1.a) LOTC, en relación al 44.2 LOTC, pues los recurrentes debieron interponer el recurso de amparo directamente contra el Auto de 1 de diciembre de 1986. Contra este Auto no cabía, como lo establece el Auto del Tribunal Supremo de 9 de enero de 1987, recurso alguno en la jurisdicción ordinaria. Por lo tanto el plazo para interponer el recurso de amparo comenzó a correr antes del 5 de diciembre de 1986, fecha en la que se presentó el recurso de súplica. La demanda, como se dijo, tuvo entrada en este Tribunal Constitucional el 31 de enero de 1987. El Tribunal Supremo entendió que su resolución de 13 de noviembre de 1986 era firme, con apoyo en el art. 21 L.E.Cr., que los demandantes estiman no aplicable al caso. Sin embargo, la interpretación de la Sala Segunda del Tribunal Supremo no ofrece reparo constitucional alguno, pues, el Auto recurrido es en verdad una decisión relativa a la competencia del Tribunal Supremo. En casos como el presente la competencia de la Sala Segunda del Tribunal Supremo depende de la materia de la querella y además de la responsabilidad, prima facie, de las personas acusadas. En el Auto recurrido en súplica el Tribunal Supremo había declarado su competencia respecto de la materia, pero la excluyó respecto de las personas, pues éstas no resultaron prima facie responsables. Por esta razón es evidente que el art. 21 L.E.Cr. encuentra aplicación directa al caso y la decisión de la Sala Segunda del Tribunal Supremo cuenta con suficiente respaldo legal. Como ya lo ha resuelto el Tribunal Constitucional la interposición de recurso improcedentes no determina una extensión del plazo para interponer el recurso de amparo, por lo que, la presente demanda puede inadmitirse con base en el art. 50.1.a)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perjuicio de ello la demanda carece en forma manifiesta de contenido que justifique un pronunciamiento de parte de del Tribunal Constitucional. En efecto, la decisión de la Sala Segunda del Tribunal Supremo no ha privado a los demandantes del acceso a un recurso que les estuviera reconocido en la ley procesal, toda vez que el auto de 13 de febrero no era recurrible, según lo establece el art. 21 L.E.Cr. Asimismo, el derecho a la tutela judicial efectiva tampoco resulta vulnerado porque la decisión de la Sala Segunda se adoptó sin la realización previa de medidas de prueba. Estas, como es obvio, no son necesarias cuando, como en el presente caso, el hecho en el que se funda la querella no constituye -al menos para las personas aforadas- delito alguno. Ello se deduce del principio general que contiene el art. 269 L.E.Cr., de aplicación a todo tipo de procedimiento penal. De acuerdo con dicho principio general, recibida la denuncia, el Juez mandará lo necesario para la comprobación de hecho, "salvo que éste no revistiere carácter de delito". Consecuentemente el Auto recurrido encuentra suficiente respaldo legal y, por ello, no es constitucionalmente objetable desde la perspectiva del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no admitir a trámite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