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815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24 de julio de 1986, la Procuradora de los Tribunales doña Isabel Cañedo Vega interpone, en nombre y representación de don Pedro Mesa Guerra, recurso de amparo contra Sentencias de la Magistratura de Trabajo núm. 2 de Málaga de 18 de julio de 1985, y del Tribunal Central de Trabajo de 3 de junio de 1986, dictadas en autos sobre despido, por entender que violan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Don Pedro Mesa Guerra prestaba servicios, desde el día I de septiembre de 1956, en la «Compañía General de Carbones, Sociedad Anónima», con la categoría de capataz en los últimos años y con adscripción al centro de trabajo de Málaga. Mediante escritos de 27 de febrero y de 13 de marzo de 1985, la dirección de la empresa le comunicó una orden de desplazamiento temporal al centro de trabajo que había instalado en Puerto Real (Cádiz), en razón de la profesionalidad y experiencia del trabajador, y de la necesidad de organizar adecuadamente y poner en funcionamiento dicho centro de trabajo. El hoy demandante de amparo se opuso al cumplimiento de esa orden, alegando que se trataba no de un simple desplazamiento, sino de un «traslado», y que se habian incumplido los requisitos que la legislación laboral establece para una orden empresarial de ese tipo. Ante la negativa reiterada del trabajador, la dirección de la empresa decidió su despido con efectos de 24 de marzo de 1985. Interpuesta demanda ante la jurisdicción laboral, fue desestimada, en primer término, por Sentencia de la Magistratura de Trabajo núm. 2 de Málaga, de 18 de julio de 1985, y posteriormente por Sentencia del Tribunal Central de Trabajo de 3 de junio de 1986, que apreciaron incumplimiento grave y culpable en la conducta del trabajador, y que, en consecuencia, consideraron que el despido había sido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representación del recurrente que dichas resoluciones judicialcs vulneran el derecho a la igualdad de trato (art. 14 C.E.) y el derecho a la tutela judicial efectiva (art. 24.1 C.E.). El primero de ellos habría sido lesionado, a su juicio, desde el momento en que la dirección de la empresa sólo sancionó a dicho trabajador, siendo así que con anterioridad otro miembro de la plantilla se había negado también al desplazamiento y, sin embargo, no había recibido sanción alguna; lo que, a su vez, sería indicio, de que la verdadera razón del despido estriba en la avanzada edad de su representado, motivo por el cual la empresa querría desprenderse de sus servicios. Por su parte, el derecho a la tutela judicial efectiva habría resultado vulnerado porque los Tribunales laborales no entraron a valorar las causas que el trabajador había alegado para oponerse al traslado y consideraron, sin más, que el trabajador debía obedecer la orden y después reclamar ante la autoridad laboral. Por todo ello la representación del den*mandante interesa de este 'Tribunal la revocación de ambas Sentencias, así como una declaración expresa de que, para decidir la procedencia o no del despido, los Tribunales han de valorar las causas de oposición al traslado aducidas por el trabajador. En apoyo de su pretención acompaña a su solicitud un escrito que, con fecha de 6 de marzo de 1985, dirigió a la Delegación Provincial de Trabajo de Málaga de la Junta de Andalucía, en el que manifestaba las razones por las que se oponía a lo que él consideraba traslado, y que en su opinión no era más que un paso previo para la reducción de plantilla. Adjunta también sendos informes de la Inpección Técnica de Trabajo de Málaga (de 3 de marzo de 1985) y de la Inspección General de Trabajo (de 11 de marzo de 1986), evacuados ambos a instancias del Defensor del Pueblo (ante el que había presentado una queja), en los que se relatan los hechos y se manifiesta que el trabajador fue advertido de la gravedad que encerraba su negativa al cumplimiento de la orden empresarial, dados los términos en que el art. 40.3 del Estatuto de los Trabajadores se expresa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provideneia de 15 de octubre de 1986, la Sección Tercera (Sala Segunda) de este Tribunal acuerda conceder al Ministerio Fiscal y a la representación del recurrente un plazo común de diez días, a fin de que aleguen lo que estimen pertinente sobre la posible inadmisión de la demanda por carencia manifiesta de contenido que justifique una decisión por parte del Tribunal Constitucional, según lo previsto en el art. 50.2 b) de su Ley Orgánica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29 de octubre de 1986, estima que del relato` de hechos aportado, no se deduce que el trabajador haya sido discriminado por la decisión de la empresa; asimismo entiende que tanto la Magistratura de Trabajo como el Tribunal Central de Trabajo se pronunciaron, aunque escuetamente, sobre las causas de oposición del trabajador al traslado,- por lo que tampoco se habría lesionado el derecho a la tutela judicial efectiva. En consecuencia, concluye que el recurso carece, a su juicio, de contenido constitucional, y que la cuestión planteada se circunscribe al ámbito de la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escrito de 11 de noviembre de 1986, insiste en que los Tribunales laborales que entendieron del caso no valoraron suficientemente las causas por las que el trabajador se opuso a la orden de la empresa y, por lo tanto, no pudieron ponderar la gravedad de la conducta del mismo y la procedencia o no de una sanción tan grave como el despido; a estos efectos recuerda que los trabajadores no tienen, en la actual legislación laboral, un deber inexcusable de obedecer las órdenes empresariales antes de reclamar contra ellas. Asimismo sostiene que los Tribunales no entraron en el análisis del presunto carácter discriminatorio de la decisión empresarial; y, aun reconociendo que resulta difícil de probar, reafirma su creencia de que efectivamente ha existido discriminación.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del recurrente en amparo estima que las Sentencias impugnadas han lesionado el derecho a la igualdad de trato reconocido en el art. 14 de la Constitución, asi como el derecho a la tutela judicial efectiva garantizado en el art. 24.1 de la misma.  Se impone, por consiguiente, examinar si tales vulneraciones se han producido o si, por el contrario, la demanda carece manifiestamente de contenido constitucional e incurre, así, en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a la vulneración del principio de igualdad se refiere, según el demandante, tendría su origen en la orden empresarial de desplazamiento, que le habría discriminado frente a otro trabajador al que también se le ofreció el cambio de centro de trabajo, sin que su negativa diera lugar a sanción alguna por parte de la empresa.  Esta alegación no puede, sin embargo, dar lugar al amparo solicitado. En primer lugar, el demandante no ha logrado probar que efectivamente hubiese otro trabajador al que se le diera una orden con el mismo contenido y que, igualmente, se negara al cumplimiento de la misma, como expresamente recuerda la Sentencia del Tribunal Central de Trabajo recurrida.  El propio demandante, en su escrito de alegaciones, reconoce la dificultad de demostrar este hecho, y únicamente puede alegar al respecto que el empresario reconoció, a lo largo del juicio oral, haber propuesto el traslado a otro trabajador.  En segundo lugar, aun haciendo abstracción de lo anterior, es de señalar que tan sólo el demandante recibió una orden de desplazamiento propiamente dicha. En efecto, de acuerdo con el relato aportado en la demanda de amparo, el demandante, con anterioridad a los hechos que ocasionaron su despido, recibió un ofrecimiento de la empresa para que se acogiera a la jubilación anticipada, al mismo tiempo que otro trabajador de la misma recibió un ofrecimiento de trasladarse al nuevo centro de trabajo. Ambos denegaron la propuesta de la dirección de la empresa, y ninguno de ellos fue sancionado por este motivo.  Más tarde, el hoy demandante recibió la orden de desplazamiento, fundada en las necesidades organizativas de la empresa y en la profesionalidad y experiencia del trabajador -según consta en la relación de hechos probados de las Sentencias impugnadas-, cuyo incumplimiento dio lugar a la sanción.  No resulta, pues, legitimo, desde el punto de vista de la aplicación del principio de igualdad y de no discriminación, comparar dos supuestos de hecho diversos, como claramente lo son el simple ofrecimiento o propuesta de traslado, y la orden empresarial de desplazamiento. El grado de obligatoriedad para el trabajador en uno y otro caso es muy distinto, y por ello las consecuencias de la negativa pueden serlo también, como efectivamente lo fueron.  Finalmente, en tercero y último lugar, es preciso señalar que, de acuerdo también con la relación de hechos probados de las Sentencias recurridas y con los informes de la Inspección de Trabajo, la orden empresarial que el trabajador recibió aparece fundada en razones legitimas, pues responde a necesidades organizativas o de funcionamiento de la actividad empresarial, tal y como se desprende del art. 40.3 del Estatuto de los Trabajadores. No se trata de una orden inmotivada, y no existe base para afirmar que se dictó con la única intención de sancionar o perjudicar al trabajador, ya que, aun cuando su contenido no apareciese en un principio debidamente determinado, posteriormente y a requerimiento del trabajador, la dirección empresarial aclaró el alcance temporal de la orden, y ofreció a aquél mayores ventajas de las derivadas de un estricto cumplimiento del art.  40.3 del Estatuto de los Trabajadores.  Por lo tanto., dado que la empresa había alegado un motivo claro y legítimo para el desplazamiento del trabajador, no cabía exigir a la dirección empresarial -a diferencia de otros supuestos enjuiciados por este Tribunal (STC 38/1981, de 23 de noviembre)- una prueba suplementaria de que su conducta no estaba movida Por una razón discriminatoria.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asimismo el demandante que los Tribunales laborales que entendieron de su reclamación han infringido también el derecho a la tutela judicial efectiva Por no haber valorado las causas que le indujeron a oponerse a la orden empresarial. Estas causas, según alega en su demanda, vienen a reducirse a la creencia de que no se trataba de un desplazamiento (cambio a un centro de trabajo situado en población distinta de la de residencia habitual del trabajador, por un tiempo máximo de un año), sino de un traslado propiamente dicho (cambio de centro que exige cambio de residencia); razón por la cual estimaba el trabajador que el empresario había incumplido los requisitos legales que ha de respetar una orden de ese tipo, y, en particular, que no contaba con la preceptiva autorización de la autoridad laboral (art.  40.1 del Estatuto de los Trabajadores). Para el demandante, las Sentencias impugnadas no habrían calibrado suficientemente la gravedad de dicho incumplimiento ni la Procedencia del despido, y, en consecuencia, le habrían exigido una conducta (la de obedecer Primero, y reclamar después) que no puede calificarse como un deber inexcusable en la actual legislación laboral.  Pero tampoco puede prosperar este segundo motivo de amparo. El análisis de la Sentencia de la Magistratura de Trabajo que ahora se impugna pone de relieve que el Juez tomó en consideración las causas que motivaron la oposición del trabajador a la orden empresarial, puesto que las recoge expresamente en la relación de hechos probados. Y asimismo pone de manifiesto que la decisión judicial se basó no en la falta de consideración de esas razones, sino en el entendimiento de que eran insuficientes para romper la «ejecutividad» que el art. 40.3 del Estatuto de los Trabajadores confiere a las órdenes empresariales de desplazamiento. El Juez estimó, así, que el incumplimiento de la orden empresarial constituía una falta grave, y que, por lo tanto, estaban justificado el despido.  La resolución judicial no carece, pues, de fundamentacion jurídica, con independencia de que su interpretación de la legalidad ordinaria pueda ser discutida.  Del mismo modo, el Tribunal Central de Trabajo recoge también en su Sentencia, dentro de la relación de hechos probados, las razones que llevaron al trabajador a oponerse al cumplimiento de la orden empresarial y tiene en cuenta, además, que la dirección de la empresa aclaró en sucesivas comunicaciones los términos del desplazamiento una vez que aquél le hizo saber los motivos que determinaban su conducta, y de todo ello deduce que el trabajador mantuvo una pertinaz actitud de oposición a la orden empresarial.  Por otra parte, el Tribunal Central de Trabajo ha rechazado de manera fundada la petición de revisión de los hechos probados introducida por el trabajador en su recurso de suplicación, por lo que tampoco cabe apreciar lesión del derecho a la tutela judicial efectiva desde esa perspectiva.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la Sección acuerda la inadmisión de la demanda de -amparo formulada por la procuradora de los Tribunales dona Isabel Cañedo Vega, en nombre y representación de don Pedro Mesa Guerra,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