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Segundo Peña Martínez, por medio de escrito presentado el 26 de diciembre de 1987, en nombre propio, dice interponer recurso de amparo contra acto jurídico del Ministerio Fiscal de 1 de octubre de 1987, en el procedimiento seguido ante el Juzgado de Instrucción de Colmenar Viejo (Madrid) como diligencias previas 849/1987, incoadas por denuncia presentada en el Juzgado de Guardia de Madrid el día 14 de mayo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exponer el recurrente diversos extremos relacionados con las diligencias previas tramitadas por el Juzgado de Instrucción de Colmenar Viejo, hace constar, y a ello se refiere exclusivamente el presente recurso de amparo, que en las mismas aparece un informe del Ministerio Fiscal de fecha 1 de octubre de 1987 que dice literalmente lo siguiente: «D.P. 849/87-M. El Fiscal interesa la práctica de las siguientes diligencias: Que por el Médico Forense será reconocido el denunciante al objeto de que se nos informe del estado de salud mental de éste. Si diere resultado positivo la práctica de la anterior diligencia, líbrese testimonio de las presentes diligencias, al objeto de instar el correspondiente procedimiento de incapacidad».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impugnación en este recurso de amparo del informe transcrito del Ministerio Fiscal, se funda en que, a juicio del recurrente, «viola el art. 24.2 de la Constitución, pues aunque el acto fuera de mero trámite lesiona a mi. entender un derecho fundamental, en cuanto que no me fue respetado el derecho a la presunción de inocencia, en aquel artículo reconocido y garantizado». Con base en ello solicita la nulidad de la propuesta del Ministerio Fiscal y que se repongan las actuaciones al momento en que se conculcó el derecho fundamental invocado por 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4.2 de la Ley Orgánica del Tribunal Constitucional (LOTC) establece que este Tribunal «apreciará, de oficio o a instancia de parte, su falta de jurisdicción o de competencia». Dados los términos del escrito del recurrente y, especialmente. el acto recurrido que, como hemos visto, es un informe del Ministerio Fiscal, se está en el caso de hacer aplicación de dicho precepto y declarar la falta de jurisdicción del Trlbunal Constitucional para conocer del problema planteado.  En efecto, el recurso de amparo tiene por objeto, con arreglo al art. 41 de la LOTC, la protección de los derechos reconocidos por los arts.  14 a 29 de la Constitución, cuya violación se haya originado por disposiciones, actos jurídicos y simple vía de hecho, de los poderes públicos o de sus funcionarios y agentes, sin que en dicho recurso puedan hacerse valer otras pretensiones «que las dirigidas a restablecer o preservar los derechos o libertades por razón de las cuales se formuló el recurso».  Pues bien, el informe del Ministerio Fiscal que ha quedado transcrito en el antecedente 2.°, carece de virtualidad para producir la violación del derecho invocado por el recurrente.  No constituye imputación alguna contra el mismo, sino una propuesta sobre la conveniencia de llevar a efecto una prueba, cuya decisión que en su caso, sería la recurrible, correspondía al Juzgado.  No se denuncia, pues, un acto susceptible de amparo y por ello no tiene jurisdicción este Tribunal para conocer del problema suscitado en el escrito inicial de estas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declarar de oficio su falta de jurisdicción para conocer del escrito que encabeza estas actuaciones y el archivo de las mismas.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