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Carlos Estévez Fernández-Novoa, Procurador de los Tribunales, en nombre y representación de don José Ramón Alvarez Rodríguez, por medio de escrito presentado el 6 de mayo de 1988, interpone recurso de amparo contra Sentencia de 28 de abril de 1987 de la Audiencia Provincial de Orense, recaída en el sumario núm. 2/1986 del Juzgado de Instrucción de Puebla de Trives, y contra la Sentencia de la Sala Segunda del Tribunal Supremo de fecha 6 de abril de 1988 que resolvía el recurso de casación interpuesto contra aquélla, por las que el recurrente fue condenado, como autor de un delito de homicidio, a la pena de doce años y un día de reclusión menor, accesoria de inhabilitación absoluta durante el tiempo de la condena, al pago de la mitad de las costas, y a que indemnizase a doña Carmen Crespo Caneda y a don Silvestre Boyero Crespo, viuda e hijo, respectivamente, de don Antonio Boyero Diéguez, en la cantidad de 500.000 pesetas a cada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El recurrente fue condenado por la Audiencia Provincial de Orense en la causa seguida por homicidio (sumario núm. 2/1986 del Juzgado de Instrucción de Puebla de Trives), en Sentencia de 28 de abril de 1987, a las indicadas penas. B) Contra dicha Sentencia se anunció la interposición de recurso de casación por infracción de ley del párrafo segundo del art. 849 L.E.Cr. El recurrente se personó en tiempo y forma ante la Sala Segunda del Tribunal Supremo, formalizando el recurso de casación e invocando un único motivo, que, textualmente, decía: «infracción de ley del párrafo segundo del art. 849 L.E.Cr. al haber infringido la Sentencia el principio de ''presunción de inocencia'' recogido en el párrafo primero del art. 24.2 de la Constitución española». C) Tramitado dicho recurso de casación, después de la celebración de la oportuna vista, la Sala Segunda del Tribunal Supremo dictó Sentencia de 8 de abril de 1988, en la que se declaraba no haber lugar al recurso de casación interpuesto. Dicha Sentencia fue notificada el 15 de abril de 1988. La demanda invoca la vulneración del derecho a la presunción de inocencia (art. 24.2 C.E.) e interesa: a) Se anule la Sentencia de la Audiencia Provincial de Orense de fecha 28 de abril de 1987, recaída en el sumario núm. 2/1986 del Juzgado de Instrucción de Puebla de Trives, y la Sentencia de la Sala Segunda del Tribunal Supremo de fecha 6 de abril de 1988, recaída en el recurso de casación núm. 747/1987, que se formuló contra la anterior Sentencia, a las que se refiere este recurso. b) Se reconozca al actor el derecho constitucional a la presunción de inocencia, y a que, en consecuencia, la Audiencia Provincial de Orense dicte nueva Sentencia en la que se acoja dicho principio ante la inexistencia de pruebas incriminatorias. c) Se restablezca al actor en la integridad de su derecho, y para ello se retrotraigan las actuaciones en el proceso penal en el que fue condenado al momento anterior al de dictar Sentencia la Audiencia Provincial de Orense, en cuya Sentencia deberá acogerse el derecho constitucional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(Sala Segunda), por providencia de 23 de mayo de 1988, a tenor de lo dispuesto en el art. 50 LOTC (anterior redacción), concedió al Ministerio Fiscal y al solicitante del amparo el plazo común de diez días para que alegaran lo que estimasen pertinente en relación con la posible existencia del siguiente motivo de inadmisión: carecer la demanda manifiestamente de contenido que justifique una decisión por parte de este Tribunal Constitucional conforme prevenía el anterior párrafo 2 b) de dicho precepto de la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13 de junio de 1988, señala que concurre la causa de inadmisión puesta de manifiesto, ya que, a la vista exclusiva de la Sentencia del Tribunal Supremo, puede concluirse que, efectivamente, existió prueba bastante para la condena, según se deduce de su fundamento tercero. Por tanto, interesa que, de conformidad con el art. 86.1 LOTC, se dicte Auto de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evacua el trámite de alegaciones por medio de escrito presentado el 10 de junio de 1988, poniendo de manifiesto que la vulneración del derecho fundamental invocado en la demanda a la presunción de inocencia se produjo porque no existió prueba directa alguna que pudiera servir para la condena del recurrente, y porque la prueba indiciaria en la que se basó la Sentencia no reúne las condiciones exigidas por la jurisprudencia de este Tribunal para que pudiera ser tenida como tal. Así, en orden a las posibles pruebas directas, la testifical, pericial médica e inspecciones oculares, puede decirse que fueron inoperantes en orden a la intervención del demandante en los hechos, y también rechaza que de las indiciarias pueda extraerse su autoría, pues ni siquiera los indicios resultan probados. Por tanto, terminaba solicitando se admitiera a trámite su demanda y se dictara Sentencia que otorgara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Ciertamente, según la propia Sentencia de la Sala Segunda del Tribunal Supremo impugnada, no existe prueba directa de la comisión por el recurrente del delito por el que ha sido condenado, pero como también señala dicha resolución, no puede prescindirse de la prueba de presunciones, si no es a riesgo de la impunidad de determinados delitos. Y este mismo Tribunal ha admitido la validez de dicha clase de prueba en SSTC 174/1985 y 175/1985, ambas de 17 de diciembre, y 150/1987, de 1 de octubre, si bien, ha cuidado de precisar sus diferencias con respecto de las meras sospechas y conjeturas, señalando la necesidad de unos hechos o indicios suficientemente probados, como exige la STC 169/1986, de 22 de diciembre, y la presencia de un proceso mental razonado y acorde con las reglas del criterio humano en virtud del cual se puedan considerar también probados los hechos constitutivos del delito.  Ambas exigencias se cumplen en el presente caso.  En efecto, de una parte, el fundamento jurídico tercero de la Sentencia recurrida alude a los siguientes datos indiciarios: «1.° Manchas de sangre en el techo y otros lugares del ''Land-Rover'' propiedad del padre del recurrente, que, analizada, resultó ser del grupo A, igual al de la víctima, mientras que la del procesado es del O; 2.° La existencia de un cabello humano en el asiento trasero del vehículo, con posibilidad de pertenecer a la víctima; 3.° Los neumáticos de características especiales que usa el ''Land-Rover'' coinciden con la rodadura dejada en el camino cercano al lugar donde se encontró el cadáver; 4.° El vehículo tenía el piso limpio y humedad debajo de las alfombras cuando fue inspeccionado por la Guardia Civil, lo que se realizó a las pocas horas de encontrarse el cuerpo de la víctima; 5.° Aparición de la cartera de la víctima cerca del lugar donde fue hallado; 6.° En los matorrales cercanos a dicho sitio también se encontraron restos de sangre del fallecido; 7.° La detención se efectúa a las diecinueve horas del día 4 de abril de 1986, el cadáver de Antonio Boyero fue habido sobre las dieciséis cuarenta horas del mismo día; 8.° El procesado incurre en numerosas contradicciones, sin explicar el por qué lavó el vehículo, manifestando en el acto del juicio oral ''porque sí'', ni dónde estuvo desde las ocho treinta a las doce del día 21 de abril -que es cuando los Forenses sitúan la hora de la muerte de la víctima-, ni tampoco si estuvo en el pueblo o fuera y qué realizó en aquel lapso de tiempo.» De otra, de los indicados datos cabe extraer la consecuencia lógica a que llega la Sentencia, estableciendo un enlace directo entre los mismos y la autoría de la muerte atribuida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circunstancia aducida en la demanda de que por la prueba pericial efectuada en el cabello no se llegue a asegurar su procedencia, sino solamente a sostener la posibilidad de que proceda de la cabeza de la victima, no es obstáculo para lo expuesto, pues el acreditamiento del hecho indiciario no es preciso que se haga por un solo medio directo de prueba, sino que es posible, como señala el Auto de 9 de mayo de 1988, R.A.  1.693/1987, llegar a tal certeza junto con dicha probabilidad por el resto de elementos obrantes en la causa.  Finalmente, también debe tenerse en cuenta que no cabe confundir entre el análisis necesario para la comprobación de que el medio de prueba utilizado puede, en alguna forma, ser considerado incriminador con lo que constituye la auténtica operación de valoración. Mientras aquel examen se orienta exclusivamente a constatar la objetivación de alguna forma de atribución responsable del hecho enjuiciado a quien resulte condenado, la auténtica ponderación probatoria se encamina al logro del convencimiento subjetivo del Tribunal sobre la realidad de la infracción penal y de la participación en ella del acusado.  En el primer aspecto, único sobre el que puede pronunciarse este Tribunal, basta con que del resultado de la prueba derive la posibilidad de intervención en los hechos; circunstancia que, sin duda, se da en los medios indiciarios de prueba obrantes en las actuaciones a que se contrae este recurso, teniendo en cuenta el indicado fundamento de la resolución impugnada; en el segundo, corresponde en exclusiva al órgano judicial analizar las distintas posibilidades del resultado probatorio, e inclinándose por la que para él resulta más verosímil, formula, en definitiva, su propia convicción, que no es susceptible de revisión en vía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