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604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11 de diciembre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Domingo Lago Pato, en nombre y representación de don Manuel Rosa Recuerda, por escrito que tuvo entrada en este tribunal el 6 de octubre de 1989, interpone recurso de amparo contra la sentencia de la Sala de Conflictos del Tribunal Supremo de 7 de julio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amparo se basa en los siguientes hechos: sancionado el recurrente por supuesta comisión de una falta grave por el director general de la Guardia Civil, interpuso recurso contencioso-administrativo al amparo de lo establecido por la Ley 62/1978, de protección jurisdiccional de los derechos fundamentales de la persona (LPJDF), recurso que fue admitido a trámite por la Sala de lo Contencioso-Administrativo del Tribunal Superior de Justicia de Andalucía. La Sala de Justicia del Tribunal Militar Central planteó conflicto de jurisdicción ante la sala de lo contencioso-administrativo citada, que negó la inhibición formalizándose con ello el conflicto a tenor de lo previsto por el art. 26 de la Ley Orgánica 2/1987, de 18 de mayo, de conflictos jurisdiccionales (LOCJ).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los correspondientes trámites procesales, la Sala de Conflictos del Tribunal Supremo dictó la sentencia ahora objeto de recurso de amparo declarando que la competencia controvertida corresponde a la jurisdicción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fundamenta su solicitud de amparo en la vulneración del art. 24 de la Constitución española (CE) por entender que es la jurisdicción ordinaria y no la castrense la competente para conocer de la acción planteada según lo previsto en la Ley de protección jurisdiccional de los derechos fundamentales de la persona. Mediante otrosí se solicita que “se proceda a dejar en suspenso la ejecución del acto originario del amparo, esto es, el expediente sancionador”.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noviembre la Sección Segunda de la Sala Primera de este tribunal acuerda admitir a trámite la demanda así como abrir la correspondiente pieza separada de suspensión, concediendo un plazo común de tres días al Ministerio Fiscal y al solicitante de amparo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20 de noviembre de 1989, el abogado del Estado se persona en el recurso por tener interés en el asunto la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escrito de 17 de noviembre de 1989, realiza las oportunas alegaciones, remitiéndose para ello al escrito presentado en el asunto registrado con el número 1800-1989. Mantiene, en primer lugar, que en la demanda no existe petición de suspensión propiamente dicha ya que el recurrente sustancia allí una pretensión idéntica al fondo del asunto así como una petición de libertad que nada tiene que ver con la sentencia recurrida. Entendiendo la petición de suspensión dirigida a la sentencia impugnada, cuyo objeto coincide básicamente con el de dos cuestiones de inconstitucionalidad planteadas ante el Tribunal Constitucional, sostiene que si se declararan inconstitucionales los preceptos de la Ley Orgánica procesal militar (LOPM) que crean el proceso disciplinario-militar preferente y sumario, la sentencia ahora impugnada carecería de base legal y haría especialmente dificultoso el cumplimiento de lo que sería un fallo estimatorio del amparo. En consecuencia solicita que se acceda 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que tuvo entrada en el registro del Tribunal Constitucional el 17 de noviembre de 1989, realiza sus alegaciones. Entiende dicha representación que la no suspensión de la sentencia de la Sala de Conflictos del Tribunal Supremo, de 7 de julio de 1989, conflicto núm. 10-1988, acarrearía graves perjuicios para su defendido. Para ello argumenta que la jurisdicción competente para conocer del recurso contencioso-administrativo es la ordinaria y no la militar, por lo que debe procederse a decretar la suspensión que no causa perjuicio grave alguno ni al interés general, ni a los derechos fundamentales o libertades públicas de terceros. Por otrosí solicita que se fije afianzamiento por los perjuicios graves que el actor está sufriendo.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por escrito de 20 de noviembre de 1989, realiza sus alegaciones. Sostiene, en primer lugar, que la suspensión sólo puede entenderse solicitada respecto de la sentencia dictada por la Sala de Conflictos del Tribunal Supremo, resolución impugnada en amparo. Esta se solicita exclusivamente en relación con la sanción disciplinaria que no es objeto de conocimiento en el presente recurso. Respecto de la sentencia ocurrida, no puede entenderse solicitada su suspensión. En todo caso no procedería decretar su suspensión. En primer lugar, la existencia de cuestiones de inconstitucionalidad pendientes sobre el mismo tema no afecta al presente caso ya que la fundamentación es distinta, sin incidir, en todo caso, sobre la existencia o no de perjuicios nacidos de la ejecución del acto impugnado en amparo, única cuestión valorable en esta pieza incidental. En segundo lugar, las sentencias de la Sala de Conflictos tienen efectos que trascienden del caso concreto generando seguridad jurídica. Por otro lado, aunque no se suspendiera, una vez se dictara la sentencia correspondiente por la jurisdicción militar sobre la regularidad de la sanción en que trae su origen remoto el presente recurso, el actor podría en todo caso recurrir esa sentencia ante este tribunal. Por fin, la doctrina del Tribunal Constitucional sentada en la sentencia de 16 de noviembre pasado hace extremadamente difícil que pueda admitirse la existencia de perjuicio alguno generado por la sentencia aquí recurrida de la Sala de Conflictos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primera cuestión a resolver se encuentra la relativa al objeto mismo de la petición de suspensión. El abogado del Estado indica en sus alegaciones que en la demanda se ha solicitado la suspensión de la sanción disciplinaria en que trae su causa lejana el presente amparo sin que pueda accederse a dicha petición por cuanto, a pesar de esa conexión mediata, el objeto del recurso de amparo no es la sanción sino la sentencia dictada en el conflicto de jurisdicción surgido con ocasión de la revisión de aquella sanción por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la petición de suspensión así entendida no podría prosperar por cuanto afecta a una resolución que no es objeto de conocimiento en esta causa de amparo. Ahora bien, también es cierto que en las alegaciones realizadas por el recurrente en esta pieza separada se subsana el anterior error concretando la petición de suspensión respecto de la sentencia de la Sala de Conflictos del Tribunal Supremo de 6 de octubre de 1989, solución, esta sí, objeto del presente amparo. Esta subsanación, unida al hecho de que tanto el Ministerio Fiscal como el propio abogado del Estado han formulado sus alegaciones refiriéndose a la procedencia o no de suspender la Sentencia dictada, permiten a este tribunal pronunciarse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Centrado el objeto de la presente pieza tal y como se ha señalado, debe indicarse, en primer lugar, que en ningún caso pueden acogerse las alegaciones de la representación del recurrente. Ello porque basa su petición exclusivamente en la incompetencia de la jurisdicción militar para conocer del recurso contencioso­administrativo pendiente, siendo esta argumentación el fondo de la cuestión planteada, que, en cuanto tal, obviamente no puede resolverse en este trámite incidental cuya única finalidad es adoptar o no una medida cautelar como es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56.1 de la LOTC dispone que podrá suspenderse la ejecución de los actos de los poderes públicos por razón de los cuales se solicite el amparo “cuando la ejecución hubiere de ocasionar un perjuicio que haría perder al amparo su finalidad”, añadiéndose que, no obstante, podrá denegarse la suspensión “cuando de esta pueda seguirse perturbación grave de los intereses generales, o de los derechos fundamentales o libertades públicas de un tercero”. En el presente caso, no cabe duda de que si no se suspendiera la sentencia impugnada y posteriormente prosperara el recurso de amparo planteado, la eficacia de este sería escasa, por no decir nula, ya que la hipotética lesión de derechos se habría consumado: el juicio por parte de un órgano judicial incompetente Por el contrario, la suspensión de la ejecución no causaría daño alguno a terceros ni al interés general. A este respecto, y frente a lo manifestado por el abogado del Estado, no puede oponerse un hipotético efecto de seguridad jurídica de las sentencias de la Sala de Conflictos que trasciende al caso concreto. Ello porque, cuestionada como está la competencia de una jurisdicción, —no solo en este asunto y en otros similares, sino también en dos cuestiones de inconstitucionalidad,— la suspensión incidirá también reflejamente en relativizar el valor de una doctrina hasta que no se resuelva sobre la existencia o no de lesión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tampoco puede invocarse la doctrina sentada por este tribunal en la reciente sentencia de 16 de noviembre de 1989, asuntos 1340-1987 y 612-1988 acumulados. En primer lugar, los supuestos resueltos en esos casos no son iguales al que subyace en el presente amparo; pero, además, la propia sentencia señala su alcance al indicarse que el análisis de los problemas en esa ocasión suscitados “deberá formularse no en términos abstractos (como si estuviéramos ante un recurso de inconstitucionalidad), sino muy ceñidos a la presente pretensión de amparo, dejando para futuras resoluciones, relativas a otros tantos procesos pendientes ante este Tribunal, el examen de los aspectos y preceptos a cada caso concernientes” (FJ 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también señalar ante las imprecisiones del escrito de alegaciones del actor, aunque resulte obvio, que al decretarse la suspensión de los efectos de la sentencia recurrida no se está atribuyendo automáticamente al conocimiento del recurso contencioso-administrativo en cuyo seno se planteó el conflicto en la jurisdicción ordinaria y la militar a la primera. La suspensión significa que, al no desplegar sus efectos el fallo, la causa originaria queda en la misma situación en que estaba en el momento anterior a dictarse la Sentencia de la Sala de Conflictos del Tribunal Supremo mientras no se decida por este tribunal respecto de la regularidad constitucional o no de la resolución aquí impugnada. Esa situación no es otra que la de suspensión, según se deduce del art. 26 LOCJ.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actor solicita asimismo que se decrete el afianzamiento de la suspensión por los graves perjuicios que está sufriendo el actor. Resulta clara la improcedencia de esta petición que no se concreta mínimamente, sin alcanzarse tampoco a ver qué conexión puede tener en términos económicos la suspensión con el objeto de la presente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suspensión de la ejecución de la sentencia de la Sala de Conflictos del Tribunal Supremo de 7 de julio de 1989.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