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Empresa Nacional Siderurgia contra Auto de la Sala de lo Social del T.S.J. del Principado de Asturias en recurso de suplicación contra la Sentencia dictada por el Juzgado de lo Social núm. 2 de Gijón por reclamación de cantidad.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Abajo Abril en nombre y representación de la Empresa Nacional Siderúrgica, S.A. (ENSIDESA), presentó escrito en el Registro del Tribunal el 30 de marzo de 1992 interponiendo recurso de amparo frente a Auto de la Sala de lo Social del Tribunal Superior de Justicia del Principado de Asturias de 10 de marzo de 1992, que inadmitió recurso de suplicación contra Sentencia del Juzgado de lo Social número 2 de Gijón, en autos sobre reclamación por horas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amparo por sus trámites, fue admitido por providencia de la Sección de 18 de mayo último que acordó reclamar las actuaciones y el emplazamiento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Sr. Abajo Abril, mediante escrito que ingresó en el Registro del Tribunal el día 1 de julio de 1992, manifiesta que habiéndose dictado por el Tribunal Supremo Sentencia en Recurso de Casación para la Unificación de Doctrina, que acompaña, y al afectar decisivamente al interés de su parte en la formulación del presente amparo, desiste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6 de julio siguiente, acordó dar traslado al Ministerio Fiscal, del anterior escrito, para que en el plazo de cinco días alegare lo pertinente en relación con el desistimiento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presentado en el mismo el día 9 de julio de 1992, dice que no se opone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por aplicación supletoria de la legislación ordinaria (art. 80 LOTC), la del desistimiento.</w:t>
      </w:r>
    </w:p>
    <w:p w:rsidRPr="00C21FFE" w:rsidR="00AD51A7" w:rsidRDefault="008777C4">
      <w:pPr>
        <w:rPr/>
      </w:pPr>
      <w:r w:rsidRPr="&lt;w:rPr xmlns:w=&quot;http://schemas.openxmlformats.org/wordprocessingml/2006/main&quot;&gt;&lt;w:lang w:val=&quot;es-ES_tradnl&quot; /&gt;&lt;/w:rPr&gt;">
        <w:rPr/>
        <w:t xml:space="preserve">Esta fórmula y decisión de la parte recurrrente aparece revestida de los requisitos legales, entre ellos la facultad conferida al Procurador para desistir. Por otra parte, no se aprecia perjuicio de parte ni daño para el interés general o público, ni se formula objeción alguna por el Ministerio Fiscal. Es procedente, pues, sancionar afirmativamente esa voluntad de desistir, poniéndose fin al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tener por desistida de la demanda a la Empresa Nacional Siderúrgica, S.A. (ENSIDESA),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