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14 de octubre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4 de marzo de 1996 la representación procesal de don Francisco Castillo Lomas ha interpuesto recurso de amparo contra los Autos de 1 y 27 de octubre de 1995 dictados por los Jueces de Instrucción núms. 2 de Sabadell y 5 de Barcelona y Auto de 6 de febrero de 1996 dictado por la Sección Sexta de la Audiencia Provincial de Barcelona, sobre prisión provisional. En la demanda se solicita también la suspensión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El Juez de Instrucción núm. 2 de Sabadell, en la resolución antes citada, decretó la prisión provisional del demandante de amparo y otras personas, como presuntos responsables de un delito contra la salud pública, poniéndolas a disposición del Juzgado de Instrucción núm. 5 de Barcelona. Al fundamentar su decisión el Juez hizo referencia exclusivamente a que los hechos eran presuntamente delictivos, a que los imputados eran presuntos responsables de ellos, y a las penas que el Código Penal preveía para este tipo de delitos. </w:t>
      </w:r>
    </w:p>
    <w:p w:rsidRPr="00C21FFE" w:rsidR="00AD51A7" w:rsidRDefault="008777C4">
      <w:pPr>
        <w:rPr/>
      </w:pPr>
      <w:r w:rsidRPr="&lt;w:rPr xmlns:w=&quot;http://schemas.openxmlformats.org/wordprocessingml/2006/main&quot;&gt;&lt;w:lang w:val=&quot;es-ES_tradnl&quot; /&gt;&lt;/w:rPr&gt;">
        <w:rPr/>
        <w:t xml:space="preserve">b) Recurrida en reforma la resolución, fue ésta resuelta por el Juez de Instrucción núm. 5 de Barcelona, que expuso como fundamento de la ratificación de la prisión provisional la siguiente: "Del contenido de las presentes diligencias se desprende la existencia de un delito contra la salud pública integrado por el tráfico de sustancias estupefacientes que causa grave daño a la salud en cantidad de notoria importancia y otro de contrabando del mismo, delitos que además de la innegable alarma social que producen, están sancionados con penas que pueden llegar a reclusión menor, además de un delito de tenencia ilícita de armas, conforme a lo dispuesto en los arts. 503 y 504 de la L.E.Crim. procede mantener la prisión provisional". </w:t>
      </w:r>
    </w:p>
    <w:p w:rsidRPr="00C21FFE" w:rsidR="00AD51A7" w:rsidRDefault="008777C4">
      <w:pPr>
        <w:rPr/>
      </w:pPr>
      <w:r w:rsidRPr="&lt;w:rPr xmlns:w=&quot;http://schemas.openxmlformats.org/wordprocessingml/2006/main&quot;&gt;&lt;w:lang w:val=&quot;es-ES_tradnl&quot; /&gt;&lt;/w:rPr&gt;">
        <w:rPr/>
        <w:t xml:space="preserve">c) Recurrida en apelación la anterior decisión, fue confirmada por la Audiencia Provincial de Barcelona que en base a la naturaleza y gravedad de los hechos investigados, a la pena que a los mismos pudiera corresponderle y a la existencia de motivos bastantes, para creer responsable al inculpado. Se tuvo en cuenta también que en ese momento la medida decretada no se extendía más allá de los seis meses de duración.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la vulneración de los arts. 17.1 y 24.1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(Sala Segunda) mediante providencia de fecha 23 de septiembre de 1996, acordó admitir a trámite el recurso de amparo, y dirigir comunicación a la Audiencia Provincial de Barcelona a fin de que, en el plazo de diez días, emplazara a quienes hubieran sido parte en el proceso de que trae causa la presente litis.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Tercera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fechas 28 y 27 de septiembre, el recurrente en amparo y el Ministerio Fiscal han presentado sus alegaciones en el incidente de suspensión, reiterando aquél lo expuesto en su escrito de demanda y manifestando éste, su oposición al otorgamiento de la suspensión instada de la Sentencia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una excepción, según la cual la suspensión podrá denegarse cuando de otorgarse la misma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ó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por tanto que la interposición del recurso de amparo no suspende, como regla general, la ejecución de los actos recurridos, salvo en el supuesto expresamente previsto en la LOTC -pérdida de la finalidad del amparo- y aún en este caso siempre que la suspensión no produzca las perturbaciones aludidas en el art. 56 antes 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entenderse que sólo perdería el amparo su finalidad cuando la no suspensión del acto recurrido provoque que el posterior y eventual restablecimiento del recurrente en el derecho constitucional vulnerado, en el supuesto de que el amparo sea otorgado, sea tardío e impida definitivamente que tal restauración sea efectiva. En general se ha entendido que las resoluciones judiciales con efectos meramente patrimoniales o económicos, en principio no causan perjuicios irreparables, por lo que no procede su suspensión (AATC 573/1985, 574/1985 ó 275/1990).</w:t>
      </w:r>
    </w:p>
    <w:p w:rsidRPr="00C21FFE" w:rsidR="00AD51A7" w:rsidRDefault="008777C4">
      <w:pPr>
        <w:rPr/>
      </w:pPr>
      <w:r w:rsidRPr="&lt;w:rPr xmlns:w=&quot;http://schemas.openxmlformats.org/wordprocessingml/2006/main&quot;&gt;&lt;w:lang w:val=&quot;es-ES_tradnl&quot; /&gt;&lt;/w:rPr&gt;">
        <w:rPr/>
        <w:t xml:space="preserve">Cuando se impugnan resoluciones privativas de libertad al entender, precisamente, que lo que se vulnera es el derecho a la libertad personal, la no suspensión, y por tanto el mantenimiento de la privación de libertad decretada, haría siempre perder al amparo su finalidad si éste fuera finalmente otorgado ya que la situación de privación de libertad se consolida hasta tal momento. Ahora bien, la automaticidad en decretar la suspensión de tales medidas supone también la resolución anticipada del fondo del recurso.  Hemos reiterado que cuando lo que se recurre son resoluciones judiciales existe un interés general en su ejecución, principio éste que ha de ser matizado caso a caso, pues en otro supuesto nunca cabría la suspensión de resoluciones al ser la perturbación del interés general causa de denegación de la misma. La mera perturbación que provoca ya la pérdida de ejecutividad de una resolución judicial no puede impedir por sí sola la suspensión (ATC 169/1995), por tanto el análisis ha de efectuarse caso por caso.</w:t>
      </w:r>
    </w:p>
    <w:p w:rsidRPr="00C21FFE" w:rsidR="00AD51A7" w:rsidRDefault="008777C4">
      <w:pPr>
        <w:rPr/>
      </w:pPr>
      <w:r w:rsidRPr="&lt;w:rPr xmlns:w=&quot;http://schemas.openxmlformats.org/wordprocessingml/2006/main&quot;&gt;&lt;w:lang w:val=&quot;es-ES_tradnl&quot; /&gt;&lt;/w:rPr&gt;">
        <w:rPr/>
        <w:t xml:space="preserve">Este Tribunal no puede en este trámite efectuar el análisis de la cuestión de fondo ni anticipar su resolución, por lo que en el caso concreto no puede indagar las finalidades concretas de la medida impugnada, aunque sí tener en cuenta que la prisión provisional es a priori, pese a su excepcionalidad, un medio insoslayable para posibilitar la administración de justicia penal y la evitación de nuevos comportamientos delictivos (STC 128/1995). Si ello es así, cuando lo que se investiga es un delito grave -y el supuesto de hecho analizado lo es ya que se trata de un delito contra la salud pública por tráfico ilegal de sustancia gravemente perjudicial para la salud, en importante cantidad, otro de contrabando y otro de tenencia ilícita de armas-, se configura un panorama que, como ya se dijera en el ATC 169/1995, o en el más reciente de 16 de septiembre de 1996, dictado por esta misma Sala en el recurso de amparo 2.730/1996, permite sostener que la suspensión podría ocasionar graves perturbaciones del interés general en la persecución de este tipo de conductas delictivas.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expuesto en los fundamentos anteriores se desprende que no procede conceder la suspensión solicitada; sin embargo, la gravedad y certeza de los perjuicios que esta denegación ocasionan obligan a este Tribunal a reducir en lo posible esos efectos, con lo que, como se ha hecho en otros casos y singularmente en los antes citados, la Sala acuerda acelerar la resolución del presente recurso, incluso anteponiéndola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acceder a la suspensión interesada por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