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los solicitantes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El día 10 de marzo de 1996 el Juzgado de lo Penal núm. 22 de Madrid dictó Sentencia en el juicio oral núm. 212/95, por la que se condenaba a don Joaquín Sarmiento Carricondo y a don Miguel García Bordallo Martín-Romo como autores responsables de dos delitos contra la propiedad intelectual, a la pena de dos meses de arresto mayor y multa de 200.000 pesetas, con veinte días de arresto sustitutorio a cada uno de ellos en caso de impago de dicha pena de multa; el pago de las costas por mitad entre ambos, incluidas las de las acusaciones particulares. « y a que indemnicen conjunta y solidariamente a EGEDA, ADICAN y al representante legal de la entidad CIC Video RCA Columbia Pictures Video, no integrada en ADICAN en el importe que se fije en ejecución de Sentencia por los daños y perjuicios sufridos, acordándose el cese de la actividad ilícita prohibiendo reanudar la explotación y dando el destino legal previsto en la Ley de Propiedad Intelectual y Código Penal de los efectos intervenidos, declarando la responsabilidad civil subsidiaria de la Mancomunidad de Propietarios de la Urbanización Villajuventus I, de Parla (Madrid). </w:t>
      </w:r>
    </w:p>
    <w:p w:rsidRPr="00C21FFE" w:rsidR="00AD51A7" w:rsidRDefault="008777C4">
      <w:pPr>
        <w:rPr/>
      </w:pPr>
      <w:r w:rsidRPr="&lt;w:rPr xmlns:w=&quot;http://schemas.openxmlformats.org/wordprocessingml/2006/main&quot;&gt;&lt;w:lang w:val=&quot;es-ES_tradnl&quot; /&gt;&lt;/w:rPr&gt;">
        <w:rPr/>
        <w:t xml:space="preserve">B) Con fecha 19 de abril de 1996 se interpuso contra dicha resolución recurso de apelación. </w:t>
      </w:r>
    </w:p>
    <w:p w:rsidRPr="00C21FFE" w:rsidR="00AD51A7" w:rsidRDefault="008777C4">
      <w:pPr>
        <w:rPr/>
      </w:pPr>
      <w:r w:rsidRPr="&lt;w:rPr xmlns:w=&quot;http://schemas.openxmlformats.org/wordprocessingml/2006/main&quot;&gt;&lt;w:lang w:val=&quot;es-ES_tradnl&quot; /&gt;&lt;/w:rPr&gt;">
        <w:rPr/>
        <w:t xml:space="preserve">C) El día 31 de mayo de 1996 se dictó providencia por la Sección Decimosexta de la Audiencia Provincial de Madrid, por la que se acusó recibo de la causa, y se señala para la práctica de la diligencia de deliberación y fallo el día 3 de junio de 1996. </w:t>
      </w:r>
    </w:p>
    <w:p w:rsidRPr="00C21FFE" w:rsidR="00AD51A7" w:rsidRDefault="008777C4">
      <w:pPr>
        <w:rPr/>
      </w:pPr>
      <w:r w:rsidRPr="&lt;w:rPr xmlns:w=&quot;http://schemas.openxmlformats.org/wordprocessingml/2006/main&quot;&gt;&lt;w:lang w:val=&quot;es-ES_tradnl&quot; /&gt;&lt;/w:rPr&gt;">
        <w:rPr/>
        <w:t xml:space="preserve">D) Con fecha 3 de junio de 1996 se dictó Sentencia resolutoria del recurso de apelación, desestimando el mismo, y confirmando en su integridad la Sentencia dictada en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los recurrentes en amparo se alega la vulneración en el procedimiento judicial del derecho a la tutela judicial efectiva (art. 24.1 C.E.), como consecuencia de la falta de motivación de la Sentencia impugnada que se concreta por los recurrentes en su ambigüedad, generalidad y abstracción. Igualmente se denuncia la celeridad con que dicha Sentencia fue dictada, sin que se haya tomado en consideración suficiente la solicitud de justicia expuesta por los recurrentes en su escrito de recurso. Por último, manifiestan la falta de aplicación de oficio de la norma más beneficiosa para los imputados como consecuencia de la aplicación del nuevo Código Penal, así como la falta de traslado a tales efectos a los litigantes para que pudieran manifestar al respecto, cuál era la norma penal que más les favoreciera.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abril de 1997 se acordó formar pieza separada de suspensión con el precedente testimonio, y a tenor de lo dispuesto en el artículo 56 de la LOTC, se acordó conceder un plazo de tres días al Ministerio Fiscal, y a los solicitantes de amparo, para que formularan las alegaciones que estimaran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los recurrentes en amparo se presentó escrito ante el Registro de este Tribunal el día 8 de mayo de 1997, en el que solicitaron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día 8 de mayo de 1997, manifestó la no procedencia de la suspensión solicitada, a excepción de la pena de dos meses de arresto mayor impuesta a dos de los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teniendo en consideración la anterior doctrina, se hace necesario afirmar la procedencia de la suspensión de las penas privativas de libertad impuestas a don Joaquín Sarmiento Carricondo y a don Miguel García Bordallo Martín-Romo, como autores responsables de un delito contra la propiedad intelectual consistente en la condena a dos meses de arresto mayor.  Del mismo modo, procede igualmente la suspensión de los veinte días de arresto sustitutorio de la pena de multa, en el caso del impago de la misma, toda vez que tales penas afectan a derechos de los recurrentes de imposible restitución a su estado anterior, como ya quedó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contrario, no procede la suspensión de la Sentencia de la Audiencia Provincial impugnada en lo que atañe a los restantes pronunciamientos condenatorios.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Sala acuerda suspender de la Sentencia de la Audiencia Provincial de Madrid de 3 de junio de 1996 en lo que se refiere a la pena de dos meses de arresto mayor, así como los veinte días de arresto sustitutorio impuestos a don Joaquín</w:t>
      </w:r>
    </w:p>
    <w:p w:rsidRPr="" w:rsidR="00AD51A7" w:rsidRDefault="008777C4">
      <w:pPr>
        <w:rPr/>
      </w:pPr>
      <w:r w:rsidRPr="&lt;w:rPr xmlns:w=&quot;http://schemas.openxmlformats.org/wordprocessingml/2006/main&quot;&gt;&lt;w:szCs w:val=&quot;24&quot; /&gt;&lt;/w:rPr&gt;">
        <w:rPr/>
        <w:t xml:space="preserve">Sarmiento Carricondo y a don Miguel García Bordallo Martín-Romo.</w:t>
      </w:r>
    </w:p>
    <w:p w:rsidRPr="" w:rsidR="00AD51A7" w:rsidRDefault="008777C4">
      <w:pPr>
        <w:rPr/>
      </w:pPr>
      <w:r w:rsidRPr="&lt;w:rPr xmlns:w=&quot;http://schemas.openxmlformats.org/wordprocessingml/2006/main&quot;&gt;&lt;w:szCs w:val=&quot;24&quot; /&gt;&lt;/w:rPr&gt;">
        <w:rPr/>
        <w:t xml:space="preserve">Por el contrario, procede denegar la suspensión solicitada en todos los demás pronunciamientos condenatorios contenidos en la resolución impugnada.</w:t>
      </w:r>
    </w:p>
    <w:p w:rsidRPr="" w:rsidR="00AD51A7" w:rsidRDefault="008777C4">
      <w:pPr>
        <w:rPr/>
      </w:pPr>
      <w:r w:rsidRPr="&lt;w:rPr xmlns:w=&quot;http://schemas.openxmlformats.org/wordprocessingml/2006/main&quot;&gt;&lt;w:szCs w:val=&quot;24&quot; /&gt;&lt;/w:rPr&gt;">
        <w:rPr/>
        <w:t xml:space="preserve">Denegar la suspensión en todos los demás pronunciamientos.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