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21 de noviembre de 1996 la representación procesal del demandante ha interpuesto recurso de amparo contra la resolución reseñada anteriormente.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a) Formulada demanda de separación personal por la cónyuge del hoy recurrente, y formulada reconvención al contestar la misma, se dictó Sentencia en primera instancia, que entre otros, contenía el siguiente pronunciamiento, tras acordar la separación solicitada: </w:t>
      </w:r>
    </w:p>
    <w:p w:rsidRPr="00C21FFE" w:rsidR="00AD51A7" w:rsidRDefault="008777C4">
      <w:pPr>
        <w:rPr/>
      </w:pPr>
      <w:r w:rsidRPr="&lt;w:rPr xmlns:w=&quot;http://schemas.openxmlformats.org/wordprocessingml/2006/main&quot;&gt;&lt;w:lang w:val=&quot;es-ES_tradnl&quot; /&gt;&lt;/w:rPr&gt;">
        <w:rPr/>
        <w:t xml:space="preserve">«1. La guarda y custodia de los hijos menores se atribuye a la madre, siendo compartida la patria potestad por ambos esposos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régimen de visitas a favor del padre se establecen los fines de semana alternos desde las veinte hora del viernes a las veinte horas del domingo, así como la mitad de las vacaciones de Navidad, Semana Santa-Pascua, Fallas y Verano ( ... ), con prohibición expresa al padre de hacer partícipes a sus hijos de sus creencias religiosas así como de la asistencia de los menores a cualquier tipo de acto que tenga relación con aquéllas ... » </w:t>
      </w:r>
    </w:p>
    <w:p w:rsidRPr="00C21FFE" w:rsidR="00AD51A7" w:rsidRDefault="008777C4">
      <w:pPr>
        <w:rPr/>
      </w:pPr>
      <w:r w:rsidRPr="&lt;w:rPr xmlns:w=&quot;http://schemas.openxmlformats.org/wordprocessingml/2006/main&quot;&gt;&lt;w:lang w:val=&quot;es-ES_tradnl&quot; /&gt;&lt;/w:rPr&gt;">
        <w:rPr/>
        <w:t xml:space="preserve">b) Instada apelación invocando la cónyuge actora, aparte otros extremos, una mayor restricción de las facultades educativas y del derecho de visita del demandante de amparo, la Sentencia de la Audiencia, objeto formal del presente recurso de amparo, resolvió limitar el derecho de visita a los menores -de catorce y seis años- de las diez horas a las veinte horas en los sábados y domingos alternos, sin pernoctar en el domicilio paterno, y suprimiéndolo en todos los períodos vacacionales, por considerar que con estas mayores restricciones -en este caso temporales- del régimen de visitas se tutela «el derecho de los menores a que su formación, religiosa y moral, continúe desarrollándose en la forma que ambos progenitores decidieron de común acuerdo, precisando que no pueden ser sometidos los menores a dos tipos de formación moral, totalmente incompatibles entre sí [por lo que] debe imponerse una restricción superior a la establecida en la sentencia de instancia, de forma tal que no exista la posibilidad de asistencia y participación de los menores en el Movimiento [Gnóstico Cristiano Universal] (...)» y confirmando expresamente la prohibición educacional atinente a la formación religiosa acordada en primera instancia. </w:t>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del art. 16.1 C.E. -derecho a la libertad ideológica y religiosa-. Tal vulneración se derivaría, según la argumentación del recurrente, de la ilícita restricción del derecho de visita, que no se funda en causa grave ni excepcional, por lo que solicita se anule la Sentencia de apelación y la prohibición educacional que se contiene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mediante providencia de fecha 21 de marzo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27 de marzo y 8 de abril de 1997 el recurrente en amparo y el Ministerio Fiscal han presentado sus alegaciones en el incidente de suspensión, reiterando aquél lo expuesto en su escrito de demanda y manifestando éste, su oposición al otorgamiento de la suspensión instada de la Sentencia impugnada dado el interés general en el cumplimiento de las resoluciones judiciales, la falta de objetivación del perjuicio de la finalidad del amparo, ya que se produciría un simple retraso en la efectividad de sus derechos y, por último, al considerar que la suspensión supondría en este caso una anticipación del amparo, ya que el restablecimiento del régimen de visitas es precisamente lo que se pide en el súplico de la demanda de amparo, con mantenimiento de lo acordado en primera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finalidad del amparo solicitado -según las alegaciones de la demanda- es restablecer el derecho a la libertad ideológica y religiosa del recurrente, del cual sería proyección la posibilidad de formar y educar a sus hijos menores en y según las creencias que comparte. Concretado así el objeto de la demanda de amparo no se aprecia que la no suspensión de las restricciones impuestas en el régimen de visitas perjudique grave o irremediablemente tal potestad, la cual, con las limitaciones establecidas en las Sentencias impugnadas, queda únicamente restringida para poner así fin al desacuerdo de ambos cónyuges -que aún comparten la patria potestad- sobre cómo han de ser educados sus descendientes menores de edad, pero no imposibilitada definitivamente, ya que el eventual otorgamiento del amparo solicitado permitiría la efectiva restauración de tal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