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Sunilda Antonia Cordero Frías, debidamente representada y asistida y mediante escrito que presentó el 14 de noviembre de 1996, ha interpuesto recurso de amparo contra la Sentencia que la Sección Segunda de la Audiencia Provincial de Málaga dictó el 19 de septiembre de 1996, en la que, estimando el recurso de apelación interpuesto por el Colegio de Odontólogos y Estomatólogos de la V Región contra la pronunciada por el Juez de lo Penal núm. 3 de Málaga, la condenó como autora de un delito de intrusismo a la pena de seis meses de prisión, así como al pago de la tercera parte de las costas procesales originadas en la tramitación de la causa penal. </w:t>
      </w:r>
    </w:p>
    <w:p w:rsidRPr="00C21FFE" w:rsidR="00AD51A7" w:rsidRDefault="008777C4">
      <w:pPr>
        <w:rPr/>
      </w:pPr>
      <w:r w:rsidRPr="&lt;w:rPr xmlns:w=&quot;http://schemas.openxmlformats.org/wordprocessingml/2006/main&quot;&gt;&lt;w:lang w:val=&quot;es-ES_tradnl&quot; /&gt;&lt;/w:rPr&gt;">
        <w:rPr/>
        <w:t xml:space="preserve">Denuncia vulneración de sus derechos a obtener la tutela judicial efectiva sin indefensión (art. 24.1 C.E.) y a la defensa (art. 24.2 C.E.) y solicita que, otorgando el amparo que interesa, sea dictada por este Tribunal Sentencia anulando la recurrida y retrotrayendo las actuaciones del proceso penal al momento anterior a dictar Sentencia en la apelación, suspendiéndose su substanciación hasta que por la Sección Cuarta de la Sala de lo Contencioso-Administrativo de la Audiencia Nacional se resuelva el recurso contencioso-administrativo que tiene interpuesto contra la resolución del Secretario general Técnico del Ministerio de Educación y Ciencia denegatoria de la homologación de su título de odontólogo por el extinto español de odontología.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29 de abril de 1997, decidió admitir a trámite el recurso y en otra simultánea acordó formar la correspondiente pieza separada y conceder en ella un plazo común de tres días al Ministerio Fiscal y a la demandante para que dentro del mismo pudieran alegar cuanto estimaran pertinente en relación con la medida cautelar de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 amparo evacuó el traslado el 8 de mayo, en escrito en el que interesó la suspensión de la ejecución de la Sentencia condenatoria dictada por la Audiencia Provincial de Málaga, ya que, a su juicio, se cumplen en el caso todos los presupuestos necesarios para proceder a la suspensión, habida cuenta que el daño que se le causaría con la ejecución sería irreparable. Afirma, por lo demás, que las dos Salas de este Tribunal han dictado Sentencias (las SSTC 30/1996 y 102/1996) otorgando amparo en casos idénticos al suyo. </w:t>
      </w:r>
    </w:p>
    <w:p w:rsidRPr="00C21FFE" w:rsidR="00AD51A7" w:rsidRDefault="008777C4">
      <w:pPr>
        <w:rPr/>
      </w:pPr>
      <w:r w:rsidRPr="&lt;w:rPr xmlns:w=&quot;http://schemas.openxmlformats.org/wordprocessingml/2006/main&quot;&gt;&lt;w:lang w:val=&quot;es-ES_tradnl&quot; /&gt;&lt;/w:rPr&gt;">
        <w:rPr/>
        <w:t xml:space="preserve">Por su parte, el Fiscal, en escrito presentado el 12 de mayo, manifestó que procede suspender la ejecución de la pena privativa de libertad, no así, sin embargo, el pago de las costas procesales, trayendo al efecto a colación la doctrina contenida en los AATC 116/1990, 244/1991, 120/1993, 316/1993, 289/1995, 301/1995, 322/1995 y 6/1996.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 Sentencia impugnada en este aspecto, ya que, en caso contrario, el eventual otorgamiento de amparo habría perdido su finalidad práctica, pues la actora tendría cumplida para entonces la pena de prisión, de corta duración (AATC 98/1983, 179/1984, 574/1985, 116/1990 y 120/1993).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Otra solución negativa en este aspecto exige la condena en costas,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naturaleza ha merecido un trato distinto que el de otros supuestos como las medidas privativas o restrictivas de la libertad personal, permitiéndose la ejecución con o sin afianzamiento, salvo que pudiera producir perjuicios irreparables o de reparación dificultosa haciendo así perder su finalidad al amparo, circunstancia que ni siquiera se aduce.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 la Sala acuerda suspender la ejecución de la Sentencia recurrida en lo que se refiere a la pena de seis meses de prisión, impuesta a la demandante de amparo, y mantener su ejecutividad. respecto del pronunciamiento sobre costas</w:t>
      </w:r>
    </w:p>
    <w:p w:rsidRPr="" w:rsidR="00AD51A7" w:rsidRDefault="008777C4">
      <w:pPr>
        <w:rPr/>
      </w:pPr>
      <w:r w:rsidRPr="&lt;w:rPr xmlns:w=&quot;http://schemas.openxmlformats.org/wordprocessingml/2006/main&quot;&gt;&lt;w:szCs w:val=&quot;24&quot; /&gt;&lt;/w:rPr&gt;">
        <w:rPr/>
        <w:t xml:space="preserve">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