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Auto de fecha 7 de abril de 1997, esta Sala acordó la suspensión de la resolución impugnada en el presente recurso de amparo en lo concerniente, exclusivamente, al bien inmueble adjudicado.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formulado al evacuar el trámite de alegaciones previsto en el art. 52 LOTC don Antonio Cenea Bemedo y «Sogacal, S.G.R.», que son parte en el proceso de amparo, solicitan la revocación del Auto que acuerda la suspensión de la resolución impugnada, o que, subsidiariamente, se condicione la misma a la constitución de fianza suficiente. Tal petición se fundamenta en que la resolución fue dictada antes de constituirse en parte en el proceso y a la vista de los perjuicios irreparables que les causa tal resolución. Se fundamenta también la petición en que paralelamente a la presentación de la demanda de amparo los recurrentes solicitaron ante el Juzgado la nulidad de actuaciones, hecho éste que ocultaron en su demanda, la cual ha sido desestimada por Auto de 14 de octubre de 1996 y ratificada en apelación por Auto de 19 de febrero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(Sala Segunda), mediante providencia de fecha 23 de junio de 1997, acordó conceder un plazo de tres días al resto de las partes personadas y al Ministerio Fiscal para que alegaran lo que estimasen oportuno sobre lo interesado por otrosí por las partes reseñadas.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sendos escritos de fecha 27 y 30 de junio y 4 de julio de 1997, los recurrentes en amparo, «Sogacal, S.G.R.», y el Ministerio Fiscal han presentado sus alegaciones en este incidente de modificación de la suspensión acordada, reiterando aquéllos que no se aportan razones justificativas para dejar sin efecto la suspensión acordada, ya que las razones aducidas tienen que ver con la pretensión de amparo y su admisibilidad y no con la suspensión acordada. «Sogacal, S.G.R.», manifiesta su conformidad con la revocación del Auto de suspensión. El Ministerio Fiscal señala que no es motivo de revocación el hecho de no haber sido oídas en su momento las partes que hoy solicitan la modificación de la suspensión, ya que la suspensión se acordó con anterioridad a su personación en este proceso de amparo. Y en cuanto a las razones justificativas relativas a la existencia de un proceso paralelo en vía judicial en el que se solicitó la nulidad de las actuaciones, alegando indefensión, señala que son argumentos que tienen que ver con la resolución de la pretensión de amparo, y, eventualmente, con la existencia de una causa de inadmisibilidad, pero no con las previsiones del art. 57 de la, LOTC, por lo que se opone a la petición de revocación o modificación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otra parte, el art. 57 de la LOTC permite modificar durante el curso del juicio de amparo constitucional, de oficio o a instancia de parte, la suspensión acordada o su denegación, si se acreditan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La cuestión a resolver en este incidente, tal y como ha sido planteada por quienes se han personado en este proceso de amparo una vez admitida a trámite la demanda, se contrae a determinar si las circunstancias por ellos puestas de manifiesto en los escritos reseñados en los antecedentes de esta resolución justifican o no la modificación de la suspensión de la resolución impugnada en amparo que decretamos por Auto de 4 de abril de 1997. Pues bien, las circunstancias sobrevenidas o desconocidas al tiempo de pronunciarse sobre la petición de suspensión que fundamentan la petición de los solicitantes no afectan por sí mismas a la decisión de suspensión, sino a la viabilidad de la propia pretensión de amparo fundada en no haber sido oído el demandante en el proceso ejecutivo anterior. Las razones ahora aducidas no aportan dato alguno sobre la valoración de los intereses en conflicto analizados cuando nos pronunciamos sobre la suspensión o su denegación, por lo que no pueden ser tenidas en cuenta para modificar la resolución en su día dictada.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petición de modificación de la suspensión acordada en el presente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