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José García-Romeral Muñoz, representado por la Procuradora de los Tribunales doña Paloma Rubio Cuesta y en escrito que presentó en el Juzgado de Guardia de Madrid el 7 de enero de 1997, interpuso recurso de amparo frente al Auto que el Juez de lo Penal núm. 25 de dicha ciudad dictó el 25 de noviembre de 1996 denegándole los beneficios de la remisión condicional de las penas privativas de libertad de dos meses de arresto mayor y seis meses y un día de prisión menor que, en Sentencia dictada el 12 de julio de 1994 (confirmada en apelación por la que la Sección Decimoséptima de la Audiencia Provincial de Madrid pronunció el 17 de enero de 1995), le impuso como autor de sendos delitos de falsedad en documento mercantil y estafa. En la demanda de amparo se queja de vulneración de sus derechos a la igualdad en aplicación de la Ley (art. 14 C.E.) y a obtener la tutela judicial efectiva (art. 24.1 C.E.), pues en casos semejantes se ha concedido la condena condicional y el Auto denegatorio de la misma carece, en su caso, de la motivación suficiente, y pide que, otorgándosele amparo, sea declarada la nulidad del Auto que impugna, reconociéndosele el derecho a los beneficios de la condena condicional. En el lugar correspondiente de la demanda interesa la suspensión de la ejecución de dicho Auto, «con el fin de evitar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dos providencias de 25 de septiembre de 1997, acordó, respectivamente, admitir a trámite la demanda y formar la correspondiente pieza separada, concediendo en la segunda de ellas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evacuó el traslado en escrito registrado el 1 de octubre, en el que precisa que solicita la suspensión de las penas que se le impusieron, ya que se trata de penas privativas de libertad de corta duración en la que la ejecución inmediata frustraría la finalidad del amparo que pretende. En la actualidad se encuentra sobreviviendo con un trabajo y está totalmente reinsertado en la sociedad. Ni antes ni después de los hechos por los que ha sido condenado ha cometido delito alguno, por lo que su ingreso en prisión no tiene ningún sentido y le causaría perjuicios irreparables, tanto económicos consistentes en la perdida de empleo y en la dificultad de encontrar otro después de cumplida la condena habida cuenta de su edad (cincuenta años), como morales, pues se trata de una persona que nunca ha estado en prisión y su ingreso en ella le pondría en contacto con expertos delincuentes de los que nada bueno puede aprender.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es escrito que presentó el 9 de octubre, manifestó que procede decretar la suspensión interesada pues, si durante la tramitación del recurso de amparo no se deja en suspenso la ejecución de las penas impuestas, al tiempo de resolverse aquél éstas se encontrarían ya cumplidas, haciendo perder al recurso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dejar en suspenso la ejecución de las penas privativas de libertad impuestas al demandante y cuya remisión condicional ha sido denegada en el Auto impugnado, ya que, en caso contrario, el eventual otorgamiento de amparo habría perdido su finalidad práctica, pues el actor tendría cumplida para entonces aquellas penas, que son de corta duración (AATC 98/1983, 179/1984, 574/1985, 116/1990 y 120/1993).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las penas privativas de libertad impuestas al demandante de amparo y cuya remisión condicional ha sido denegada en el Auto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