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11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marzo de 1999, el Procurador de los Tribunales don José Granados Weil, en nombre y representación de doña María del Carmen Castellano Trevilla interpuso recurso de amparo constitucional contra la Sentencia núm. 120/1999, de 19 de febrero de 1999, dictada por la Sala de lo Civil del Tribunal Supremo en el recurso de casación núm. 1.901/95 promovido contra la Sentencia de la Sección Decimocuarta de la Audiencia Provincial de Barcelona, de 3 de mayo de 1995, recaída en un procedimiento de protección del derecho al honor y a la propia imagen dimanante del Juzgado de Primera Instancia núm. 26 de Barcelona que había dictado Sentencia el día 7 de febrero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Sostiene la demandante que un reportaje publicado en el núm. 815 del Semanario "Interviu" correspondiente al día 15 de diciembre de 1991 vulneró su derecho al honor a la intimidad y a la propia imagen, sin que los órganos jurisdiccionales ofreciesen cumplida reparación del mismo toda vez que, la Sentencia dictada por la Sala de lo Civil del Tribunal Supremo declaró haber lugar al recurso de casación promovido contra la Sentencia dictada en apelación, confirmando la dictada por el Juzgado de Primera Instancia núm. 26 de Barcelona que había desestimado la demanda por ella presentada contra los autores del reportaje y el Grupo editor de la referida publicación.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28 de junio de 1999, se acordó la admisión a trámite del recurso y, por providencia de esa misma fecha, se ordenó formar la presente pieza separada de suspensión, concediendo a la demandante de amparo y al Ministerio Fiscal (ex art. 56 LOTC) el plazo común de tres días para que formulasen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fechado el día 5 de julio de 1999, la actora presentó sus alegaciones, que se limitan a una única consideración referida a la condena en costas en ambas instancias, lo que a su juicio comportaría un grave desequilibrio económico que puede no ser restituido si finalmente se otorgase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día 12 de julio de 1999. Tras una sucinta exposición de los hechos, considera que no procede la suspensión de las resoluciones recurridas porque la petición de suspensión no tiene proyección al supuesto concreto, ya que la Sentencia del Tribunal Supremo tiene un carácter negativo al desestimar la demanda inicial del proceso, viniendo el fallo a reconocer indirectamente el derecho a la información de quienes eran demandados. No hay pues ejecución posible de la Sentencia ni, por tanto, perjuicio irreparable para la demandante de amparo. En cuanto al pago de la condena en costas es doctrina del Tribunal Constitucional que no procede su suspensión por tratarse de un perjuicio meramente económico, y cuya restitución o reparación sería posible en caso de una eventual estimación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de oficio o a instancia del recurrente, la ejecución del acto o resolución impugnados "cuando la ejecución hubiere de ocasionar un perjuicio que haría perder al amparo su finalidad", aunque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Reiteradamente ha declarado este Tribunal que, en principio, cuando la suspensión se solicita en relación con la ejecución de resoluciones judiciales firmes y definitivas, el criterio a seguir, por ser más acorde al interés general, es no acceder a la suspensión de su ejecución, porque ésta dota de efectividad a la tutela judicial (art. 24.1 C.E.)  de la parte que obtuvo un pronunciamiento favorable a sus pretensiones (AATC 81/198 1, 186/1998 y 284/1998, entre otros muchos). Sin embargo, esta garantía del interés general, presente en la ejecución de lo juzgado, no debe prevalecer en aquellos supuestos en los que, de no acordarse la suspensión, el amparo perdería toda su finalidad, razón por la que, como criterio general, no procede suspender aquellas resoluciones judiciales que admiten la reparación o la restitución íntegra de lo ejecutado (AATC 17/1980, 257/1986, 249/1989, 141/1990, 212/1994, 35/1996 y 76/1996,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traslación de la anterior doctrina al asunto presente conduce a la denegación de la suspensión solicitada. En efecto, la demandante de amparo únicamente justifica la suspensión de la Sentencia impugnada en los perjuicios que eventualmente pudieran derivarse del pago de las costas procesales devengadas en el proceso civil. Es éste un perjuicio de carácter exclusivamente económico y siempre susceptible de ser reparado en la hipótesis de que la pretensión de amparo llegase a prosperar, por lo que no procede adoptar la medida cautelar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