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abril de 1999, don Rafael Gamarra Megías, Procurador de los Tribunales y de don Francisco Soler Valero, interpuso recurso de amparo constitucional contra la Sentencia dictada el 25 de febrero de 1999 por la Sala de lo Contencioso-Administrativo del Tribunal Superior de Justicia de Madrid (Sección Quinta), en el recurso contencioso-administrativo núm. 3.054/95.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La Administración Tributaria expidió al actor providencia de apremio por impago de la liquidación tributaria núm. 87-5003778-4/0, correspondiente al Impuesto sobre la Renta de las Personas Físicas del ejercicio 1984, por importe de 1.537.172 pesetas. </w:t>
      </w:r>
    </w:p>
    <w:p w:rsidRPr="00C21FFE" w:rsidR="00AD51A7" w:rsidRDefault="008777C4">
      <w:pPr>
        <w:rPr/>
      </w:pPr>
      <w:r w:rsidRPr="&lt;w:rPr xmlns:w=&quot;http://schemas.openxmlformats.org/wordprocessingml/2006/main&quot;&gt;&lt;w:lang w:val=&quot;es-ES_tradnl&quot; /&gt;&lt;/w:rPr&gt;">
        <w:rPr/>
        <w:t xml:space="preserve">b) Interpuesto recurso de reposición y desestimado éste, se presentó reclamación ante el Tribunal Económico-Administrativo Regional de Madrid (núm. 2.512/93), quien, mediante Resolución de fecha de 6 de julio de 1995, también la desestimó. </w:t>
      </w:r>
    </w:p>
    <w:p w:rsidRPr="00C21FFE" w:rsidR="00AD51A7" w:rsidRDefault="008777C4">
      <w:pPr>
        <w:rPr/>
      </w:pPr>
      <w:r w:rsidRPr="&lt;w:rPr xmlns:w=&quot;http://schemas.openxmlformats.org/wordprocessingml/2006/main&quot;&gt;&lt;w:lang w:val=&quot;es-ES_tradnl&quot; /&gt;&lt;/w:rPr&gt;">
        <w:rPr/>
        <w:t xml:space="preserve">e) Interpuesto recurso contencioso-administrativo ante el Tribunal Superior de Justicia de Madrid (recurso 3.054/95), se desestima mediante Sentencia con fecha 25 de febrero de 1999. Los motivos alegados en el recurso por el actor para cuestionar la providencia de apremio fueron el error en el número del domicilio que constaba en la misma, de una parte, y la falta de poder bastante del representante del sujeto pasivo, de otro lado. Respecto del primer defecto, el Tribunal entendió que no era determinante de la ineficacia del acto, al reunir el acto administrativo todos los requisitos para alcanzar su fin y no provocar indefensión, tanto más cuando la notificación se efectuó correctamente en la persona del representante del recurrente, aun cuando figurara un número distinto del real. Y con relación al segundo motivo del recurso, resulta que el recurrente había designado voluntariamente a su representante para que actuase en su nombre ante la Inspección de los Tributos, siendo éste el que firmó el acta de conformidad con fecha de 7 de abril de 1987, no exigiéndose un especial apoderamiento para recibir la notificación de la providencia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anulación de la Sentencia dictada el 25 de febrero de 1999 por la Sala de lo Contencioso-Administrativo (Sección Quinta) del Tribunal Superior de Justicia de Madrid, para que se dicte en su lugar otra con respeto al derecho a la igualdad, en su vertiente de igualdad en la aplicación de la Ley,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28 de abril de 1999, de conformidad con el art. 56 LOTC, el recurrente interesó la suspensión de la ejecución de la resolución impugnada, toda vez que la ejecución de la misma daría lugar a la prosecución del procedimiento de apremio contra los bienes del recurrente por parte de la Administración tributaria, lo cual haría perder al presente recurso de amparo su finalidad. Por el contrario, el otorgamiento de la suspensión solicitada no acarrearla perjuicio alguno para los intereses generales, toda vez que el recurrente tiene garantizado el pago de la deuda tributaria y de su interés de demora mediante aval bancario, cuya copia se acompaña a la solicitud de suspensión, de modo que, en el caso de que el amparo no fuese finalmente concedido, la Administración siempre podrá obtener el pago de las cantidades adeudadas, ejecutando el aval bancario precitado.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12 de julio de 1999, la Sección Primera de este Tribunal acordó la admisión a trámite de la demanda, con requerimiento de las actuaciones al órgano judicial concernido, así como la formación de pieza separada, de suspensión, concediendo plazo de tres días al Ministerio Fiscal y al demandante de amparo para que formulasen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julio se registró en este Tribunal, el escrito de alegaciones del demandante de amparo, en el que se reitera la argumentación expuesta en su escrito de 28 de abril para solicitar la suspensión, añadiendo que la no suspensión le acarrearía perjuicios de difícil reparación, toda vez que la ejecución de la Sentencia determinaría que la Administración tributaria procediese al embargo de sus bienes, integrados únicamente por la vivienda que constituye su domicilio habitual y el de su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conferido mediante escrito presentado el 9 de septiembre, en el que sostiene la improcedencia de acceder a la suspensión solicitada, puesto que la misma refiere a una Sentencia de contenido esencialmente económico y, por ello, de conformidad con la doctrina de este Tribunal, debe regir la regla general de no suspensión, al ser los eventuales perjuicios que pudieran derivarse de la ejecución fácilmente reparables, en caso de estimarse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 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Y también en general hemos dicho que la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y 287/1997, entre otros) hemos accedido eventualmente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nos hallamos ante una resolución con efectos puramente patrimoniales, cuya ejecución, como advierte el Ministerio Fiscal, no causaría perjuicios irreparables al demandante de amparo, por más que pueda producir efectos desfavorables, ya que su reparación posterior, en caso de ser estimado el amparo, es perfectamente posible en su integridad, sin que el recurrente haya acreditado la concurrencia de circunstancias excepcionales que puedan justificar el otorgamiento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