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11 de enero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25 de septiembre de 1998, don Miguel Ángel Albert García, representado por la Procuradora de los Tribunales doña Olga Romojaro Casado y con la asistencia letrada de don Miguel Ángel Santalices Romero, interpone recurso de amparo contra Sentencia de la Sala de lo Social del Tribunal Supremo de 13 de julio de 1998. Se invoca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Juzgado de lo Social núm. 30 de Madrid, en Sentencia de 19 de enero de 1996, estimó parcialmente la demanda sobre reclamación de extinción de contrato de trabajo formulada por diversos trabajadores frente al recurrente de amparo. </w:t>
      </w:r>
    </w:p>
    <w:p w:rsidRPr="00C21FFE" w:rsidR="00AD51A7" w:rsidRDefault="008777C4">
      <w:pPr>
        <w:rPr/>
      </w:pPr>
      <w:r w:rsidRPr="&lt;w:rPr xmlns:w=&quot;http://schemas.openxmlformats.org/wordprocessingml/2006/main&quot;&gt;&lt;w:lang w:val=&quot;es-ES_tradnl&quot; /&gt;&lt;/w:rPr&gt;">
        <w:rPr/>
        <w:t xml:space="preserve">b) Interpuesto recurso de suplicación por el recurrente contra dicha Sentencia, fue desestimado por Sentencia de la Sala de lo Social del Tribunal Superior de Justicia de Madrid de 1 de julio de 1997. </w:t>
      </w:r>
    </w:p>
    <w:p w:rsidRPr="00C21FFE" w:rsidR="00AD51A7" w:rsidRDefault="008777C4">
      <w:pPr>
        <w:rPr/>
      </w:pPr>
      <w:r w:rsidRPr="&lt;w:rPr xmlns:w=&quot;http://schemas.openxmlformats.org/wordprocessingml/2006/main&quot;&gt;&lt;w:lang w:val=&quot;es-ES_tradnl&quot; /&gt;&lt;/w:rPr&gt;">
        <w:rPr/>
        <w:t xml:space="preserve">c) El recurrente formuló recurso de casación para la unificación de doctrina contra la Sentencia de suplicación, que fue desestimado por Sentencia de la Sala de lo Social del Tribunal Supremo de 13 de julio de 1998 porque no concurría la contradicción doctrinal alegada entre la Sentencia impugnada y la elegida Sentencia de contraste, al no existir identidad sustancial entre los supuestos de hecho [art. 217 de la Ley de Procedimiento Laboral (en adelante, LPL)]. Razonaba la Sala que la igualdad en los supuestos de hecho en materia de extinción de contratos de trabajo por falta de pago de salarios es difícil que pueda producirse, salvo casos excepcionales, por lo que es preciso realizar una cuidada individualización de cada uno de los casos, atendiendo a las peculiares circunstancias subjetivas y objetivas configuradoras de los mismos. La apreciación de la falta de pago o de los retrasos continuados en el abono de los salarios pactados, y la incardinación o no de estos extremos en el art. 50 b) del Estatuto de los Trabajadores, dependen fundamentalmente de las circunstancias, datos y elementos que en cada caso específico concurran. Tras recoger los diversos presupuestos fácticos de los que parten la Sentencia impugnada y la de contraste, y destacar las diferencias existentes entre los mismos, el Tribunal Supremo afirma la inexistencia de identidad sustancial entre los supuestos de hecho, y por tanto de contradicción, entre la Sentencia recurrida y la elegida como término de comparación.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la Sentencia del Tribunal Supremo de 13 de julio de 1998, a la que imputa haber infringido el art. 24.1 CE. </w:t>
      </w:r>
    </w:p>
    <w:p w:rsidRPr="00C21FFE" w:rsidR="00AD51A7" w:rsidRDefault="008777C4">
      <w:pPr>
        <w:rPr/>
      </w:pPr>
      <w:r w:rsidRPr="&lt;w:rPr xmlns:w=&quot;http://schemas.openxmlformats.org/wordprocessingml/2006/main&quot;&gt;&lt;w:lang w:val=&quot;es-ES_tradnl&quot; /&gt;&lt;/w:rPr&gt;">
        <w:rPr/>
        <w:t xml:space="preserve">Se afirma que el Tribunal Supremo ha realizado una interpretación ultrarrestrictiva el art. 217 LPL. Así entendido, el art. 217 LPL cierra la vía de la unificación doctrinal a todos los supuestos del art. 50.1 b) de la Ley del Estatuto de los Trabajadores, por ser imposible en la práctica que se dé la identidad de hechos exigida por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 de octubre de 1998, acordó, conforme determina el art. 50.5 LOTC, conceder al recurrente un plazo de diez días para que acredite fehacientemente la fecha de notificación a su representación procesal de la Sentencia de la Sala de lo Social del Tribunal Supremo impugnada y aporte copia de las Sentencias dictadas por el Juzgado de lo Social núm. 30 de Madrid, el Tribunal Superior de Justicia de Madrid, así como el desglose del poder aportado,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27 de enero de 1999,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16 de febrero de 1999, el recurrente en amparo se ratifica en su escrito de demanda, reiterando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en escrito presentado el 18 de febrero de 1999, interesa la inadmisión a trámite de la demanda de amparo por falta manifiesta de contenido constitucional [art. 50.1 c) LOTC]. El Ministerio Fiscal, partiendo de la doctrina constitucional sobre el derecho de acceso al recurso recaída en relación con el recurso de casación para la unificación de doctrina, afirma que en el presente caso el recurrente pretende la revisión por el Tribunal Constitucional de los criterios de valoración utilizados por el Tribunal Supremo para desestimar la identidad sustancial de los supuestos exigida por el art. 217 LPL, lo que escapa del ámbito del control constitucional si la decisión adoptada no es irracional o arbitraria. Analizando la fundamentación de la decisión del Tribunal Supremo impugnada no puede reputarse, en opinión del Ministerio Fiscal, de irrazonable la decisión de rechazar la identidad de supuestos, por cuanto las situaciones de hecho recogidas en la Sentencia de contraste y en la impugnada en casación guardan diversos aspectos de discrepancia, que son los que han de ser objeto de ponderación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27 de enero de 1999,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si, como afirma el recurrente, la Sentencia del Tribunal Supremo impugnada lesionó su derecho a la tutela judicial efectiva sin indefensión (art. 24.1 CE), en su manifestación de derecho de acceso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jurisprudencia consolidada de este Tribunal corresponde a los Tribunales ordinarios la interpretación y aplicación de los requisitos de acceso a los recursos previstos en las normas procesales, quedando la intervención de este Tribunal reservada a los supuestos en los que la interpretación y aplicación de tales requisitos resulta arbitraria, irrazonable o fundada en un error con relevancia constitucional, siendo matizada la operatividad del principio pro actione en la fase de recurso, pues, como hemos declarado en la STC 37/1995, "el principio hermenéutico pro actione no opera con igual intensidad en la fase inicial del proceso, para acceder al sistema judicial, que en las sucesivas" (FJ 5).</w:t>
      </w:r>
    </w:p>
    <w:p w:rsidRPr="00C21FFE" w:rsidR="00AD51A7" w:rsidRDefault="008777C4">
      <w:pPr>
        <w:rPr/>
      </w:pPr>
      <w:r w:rsidRPr="&lt;w:rPr xmlns:w=&quot;http://schemas.openxmlformats.org/wordprocessingml/2006/main&quot;&gt;&lt;w:lang w:val=&quot;es-ES_tradnl&quot; /&gt;&lt;/w:rPr&gt;">
        <w:rPr/>
        <w:t xml:space="preserve">Tales criterios generales se reiteran específicamente para la inadmisión del recurso de casación para la unificación de doctrina en el procedimiento laboral, correspondiendo al Tribunal Supremo apreciar si concurren las exigencias legales para acceder a él y quedando reservada la intervención del Tribunal Constitucional para aquellos supuestos en los que la respuesta del órgano judicial haya sido inmotivada o manifiestamente arbitraria (SSTC 239/1993, 337/1993, 126/1994, 141/1994, 256/1994, 132/1997, 39/1998, 89/1998 y 92/1999).</w:t>
      </w:r>
    </w:p>
    <w:p w:rsidRPr="00C21FFE" w:rsidR="00AD51A7" w:rsidRDefault="008777C4">
      <w:pPr>
        <w:rPr/>
      </w:pPr>
      <w:r w:rsidRPr="&lt;w:rPr xmlns:w=&quot;http://schemas.openxmlformats.org/wordprocessingml/2006/main&quot;&gt;&lt;w:lang w:val=&quot;es-ES_tradnl&quot; /&gt;&lt;/w:rPr&gt;">
        <w:rPr/>
        <w:t xml:space="preserve">Como este Tribunal ha tenido ya ocasión de afirmar en la jurisprudencia citada, el recurso de casación para la unificación de doctrina ha sido configurado legalmente (arts. 216 a 226 LPL) como un recurso extraordinario y excepcional, que tiende fundamentalmente a garantizar la homogeneidad de la doctrina de los Tribunales laborales y la supremacía jurisdiccional del Tribunal Supremo (art. 123 CE), lo que justifica la estricta exigencia de sus presupuestos de admisibilidad tanto formales como materiales.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atendiendo a la anterior doctrina constitucional, ninguna imputación de lesión del art. 24.1 CE puede merecer la Sentencia del Tribunal Supremo impugnada, pues la falta de respuesta de fondo al recurso de casación para la unificación de doctrina interpuesto por el recurrente está fundada en la aplicación de una causa de inadmisibilidad legalmente prevista, como es la inexistencia de contradicción entre la Sentencia recurrida y la elegida como término de comparación, dada la falta de identidad sustancial entre los supuestos de hecho (art. 217 LPL), que en modo alguno ha sido objeto de una interpretación que pueda ser tachada de arbitraria, irrazonable, ni fundada en un error patente, por lo que la misma no puede ser revisada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