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16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abril de 2000, el Procurador don Luis José García Barrenechea, en nombre y representación de don Calogero Carlino, interpuso demanda de amparo contra el Auto del Pleno de la Sala de lo Penal de la Audiencia Nacional, de 13 de marzo de 2000 (dictado en el procedimiento de extradición número 6/1999), que desestimó la súplica intentada contra el dictado el 14 de septiembre de 1999, por la Sección Primera de la misma Audiencia, acordando la extradición a Italia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considera que la decisión de acceder a su extradición lesiona sus derechos fundamentales a la igualdad, a obtener la tutela judicial efectiva sin padecer indefensión y a que la resolución impugnada se acuerde únicamente tras un proceso con todas las garantías (arts. 14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que se declare la nulidad de ambos Autos, tanto el dictado por la Sección Primera, como el pronunciado por el Pleno de la Sala de lo Penal de la Audiencia Nacional. También se pretende por el recurrente la suspensión de la ejecución de ambas resoluciones que declaran procedente la extradición y, en definitiva, de la entrega del reclamado a las Autoridades requirentes hasta que se resuelva el recurso de amparo, de conformidad con lo dispuesto en el art. 56.1 LOTC, alegando que en otro caso no podrían asegurarse los efectos de una hipotética estimación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de 2000, la Sala acordó la admisión a trámite de la demanda así como, a tenor de lo establecido en el art. 51 LOTC, requerir atentamente a la Sección Primera de la Sala de lo Penal para que en plazo de diez días remitieran testimonio del procedimiento, así como para que se emplazara a quienes fueron parte en el procedimiento, con excepción del recurrente en amparo, con traslado a dichos efectos de copia de la demanda presentada. </w:t>
      </w:r>
    </w:p>
    <w:p w:rsidRPr="00C21FFE" w:rsidR="00AD51A7" w:rsidRDefault="008777C4">
      <w:pPr>
        <w:rPr/>
      </w:pPr>
      <w:r w:rsidRPr="&lt;w:rPr xmlns:w=&quot;http://schemas.openxmlformats.org/wordprocessingml/2006/main&quot;&gt;&lt;w:lang w:val=&quot;es-ES_tradnl&quot; /&gt;&lt;/w:rPr&gt;">
        <w:rPr/>
        <w:t xml:space="preserve">En la misma providencia se acordó formar la correspondiente pieza separada de suspensión y, con la misma fecha, se acordó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pasado 10 de mayo tuvo entrada en este Tribunal el escrito de alegaciones del Ministerio Fiscal. En dicho escrito, el Ministerio Público sostiene la conveniencia de acceder a la suspensión interesada pues en otro caso, es decir, si el recurrente es entregado, perdería su finalidad el presente recurso con el que, en suma, lo que se pretende es cuestionar la legitimidad constitucional de la decisión que autoriza la extradición, sin que aparezca que la suspensión pueda originar una perturbación grave de los intereses generales o los derechos de un tercero. En apoyo de su tesis cita los AATC 210/1997, 279/1998, 291/1998,1/1999 y 41/1999, que resolvieron supuestos análogos.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mismo día 10 de mayo de 2000 se registró en este Tribunal el escrito de alegaciones del demandante de amparo, en el que, tras dar por reproducidas las contenidas en el primer otrosí de su escrito de interposición del recurso, al que hemos aludido anteriormente, resume las vulneraciones de derechos fundamentales que, a su parecer, han ocasionado las resoluciones de los órganos judiciales, por lo que interesa su suspensión puesto que, de no acordarse así, la hipotética concesión del amparo resultaría ilusoria y, por el contrario, acceder a la suspensión no entrañaría ningún riesgo en relación con la ejecución del expediente de extradición, habida cuenta de que el reclamado se encuentra en prisión por esta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Prevé el art. 56.1 LOTC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 En consecuencia, dada la naturaleza extraordinaria de la jurisdicción de amparo y los imperativos que derivan de la efectividad de la tutela judicial, la suspensión prevista en la LOTC se configura como una medida provisional de carácter excepcional y de aplicación restrictiva, aunque eso no significa que la existencia de un evidente interés en la ejecución de los fallos judiciales (art. 118 CE) pueda ser entendido de un modo tan rígido que siempre resulte inviable la suspensión de su ejecución. En este sentido, la mencionada afectación del interés general sólo será relevante si, en atención a las circunstancias del caso, a la naturaleza de la resolución judicial y al contenido del fallo, reviste la suficiente gravedad como para excluir de raíz la concesión de la suspensión (AATC 326/1996, 419/1997 y 182/1998,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obliga a considerar, como hemos venido haciendo en situaciones análogas (AATC 210/1997, 221/1998, 279/1998, 284/1998, 285/1998, 291/1998, 1/1999 y 41/1999) que, en los supuestos de extradición la ejecución de las resoluciones impugnadas puede convertir en ilusoria la eventual concesión del amparo, toda vez que si la persona requerida fuera entregada a las autoridades del Estado requirente, podría perder el amparo su finalidad, pues, en definitiva, su objeto es cuestionar la decisión de acceder a la extradición. En efecto -tal y como hemos reiterado- una vez que el recurrente se encuentre bajo la potestad de otro Estado, sería muy difícil que un eventual pronunciamiento estimatorio de este Tribunal por el que se anularan los Autos que acceden a la extradición pudiera tener plena eficacia en ese Estado.</w:t>
      </w:r>
    </w:p>
    <w:p w:rsidRPr="00C21FFE" w:rsidR="00AD51A7" w:rsidRDefault="008777C4">
      <w:pPr>
        <w:rPr/>
      </w:pPr>
      <w:r w:rsidRPr="&lt;w:rPr xmlns:w=&quot;http://schemas.openxmlformats.org/wordprocessingml/2006/main&quot;&gt;&lt;w:lang w:val=&quot;es-ES_tradnl&quot; /&gt;&lt;/w:rPr&gt;">
        <w:rPr/>
        <w:t xml:space="preserve">Además, en este caso, no se aprecia que la suspensión cautelar pueda originar una perturbación grave de los intereses generales ni de los derechos fundamentales o libertades públicas de un tercero. Como también hemos mantenido anteriormente (AATC 221/1998, 284/1998 y 285/1998) si bien es cierto que existen intereses generales que aconsejan tanto el cumplimiento de las resoluciones judiciales como el de los Tratados Internacionales, "dichos intereses no quedarán afectos por la suspensión provisional de unos Autos cuya ejecución inmediata provocaría consecuencias irreversibles". En todo caso, resulta también evidente que los intereses generales que concurren en la ejecución reclaman que el presente recurso se resuelva cuanto antes, incluso anteponiéndolo en el orden de señalamientos.</w:t>
      </w:r>
    </w:p>
    <w:p w:rsidRPr="00C21FFE" w:rsidR="00AD51A7" w:rsidRDefault="008777C4">
      <w:pPr>
        <w:rPr/>
      </w:pPr>
      <w:r w:rsidRPr="&lt;w:rPr xmlns:w=&quot;http://schemas.openxmlformats.org/wordprocessingml/2006/main&quot;&gt;&lt;w:lang w:val=&quot;es-ES_tradnl&quot; /&gt;&lt;/w:rPr&gt;">
        <w:rPr/>
        <w:t xml:space="preserve">Procede, pues, suspender la ejecución de los Autos impugnados, suspensión que se extiende única y exclusivamente, a la declaración de procedencia de la extradición ' acordada por los órganos judiciales, y sin perjuicio de que el Tribunal competente mantenga o adopte las medidas cautelares oportunas para que el recurrente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1° Suspender la ejecución del Auto del Pleno de la Sala de lo Penal de la Audiencia Nacional de 13 de marzo de 2000, que al resolver el recurso de súplica presentado, confirmó el Auto de 14 de septiembre de</w:t>
      </w:r>
    </w:p>
    <w:p w:rsidRPr="" w:rsidR="00AD51A7" w:rsidRDefault="008777C4">
      <w:pPr>
        <w:rPr/>
      </w:pPr>
      <w:r w:rsidRPr="&lt;w:rPr xmlns:w=&quot;http://schemas.openxmlformats.org/wordprocessingml/2006/main&quot;&gt;&lt;w:szCs w:val=&quot;24&quot; /&gt;&lt;/w:rPr&gt;">
        <w:rPr/>
        <w:t xml:space="preserve">1999, dictado por la Sección Primera de dicha Sala (rollo de Sala número 7/99), por los que se declaró procedente la extradición a la República de Italia del demandante de amparo en el expediente de extradición número 6/99, sin que la suspensión alcance</w:t>
      </w:r>
    </w:p>
    <w:p w:rsidRPr="" w:rsidR="00AD51A7" w:rsidRDefault="008777C4">
      <w:pPr>
        <w:rPr/>
      </w:pPr>
      <w:r w:rsidRPr="&lt;w:rPr xmlns:w=&quot;http://schemas.openxmlformats.org/wordprocessingml/2006/main&quot;&gt;&lt;w:szCs w:val=&quot;24&quot; /&gt;&lt;/w:rPr&gt;">
        <w:rPr/>
        <w:t xml:space="preserve">a las medidas cautelares relativas a la situación personal de recurrente, cuya adopción o mantenimiento corresponde adoptar a la Audiencia Nacional.</w:t>
      </w:r>
    </w:p>
    <w:p w:rsidRPr="" w:rsidR="00AD51A7" w:rsidRDefault="008777C4">
      <w:pPr>
        <w:rPr/>
      </w:pPr>
      <w:r w:rsidRPr="&lt;w:rPr xmlns:w=&quot;http://schemas.openxmlformats.org/wordprocessingml/2006/main&quot;&gt;&lt;w:szCs w:val=&quot;24&quot; /&gt;&lt;/w:rPr&gt;">
        <w:rPr/>
        <w:t xml:space="preserve">2° Comunicar urgentemente el presente Auto al Gobierno de la Nación por conducto del Ministerio de Justicia, así como al Pleno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