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Rosina Montes Augustí presentó el día 4 de marzo de 1999 en el registro de este Tribunal, escrito interponiendo recurso de amparo contra el Auto del Tribunal Supremo de 12 de noviembre de 1998 por el que inadmite el recurso de casación interpuesto contra la Sentencia de la Sala de lo Social del Tribunal Superior de Justicia del País Vasco de 24 de marzo de 1998. En la demanda de amparo se nos cuenta que los recurrentes, que han venido prestando servicios para la empresa Aguas del Norte S.A., que forma parte de la Unión Temporal de Empresas ANSA-NETAIGUA, presentaron demanda de conciliación contra las citadas empresas y contra el Consorcio de Aguas de Abastecimiento y Saneamiento de la Comarca del Gran Bilbao, y el Consorcio de Aguas de la Merindad de Durango y Pridesa, que se celebró con el resultado de sin avenencia y sin efecto, no habiéndose interpuesto reclamaciones previas ante los Organismos Públicos demandados. </w:t>
      </w:r>
    </w:p>
    <w:p w:rsidRPr="00C21FFE" w:rsidR="00AD51A7" w:rsidRDefault="008777C4">
      <w:pPr>
        <w:rPr/>
      </w:pPr>
      <w:r w:rsidRPr="&lt;w:rPr xmlns:w=&quot;http://schemas.openxmlformats.org/wordprocessingml/2006/main&quot;&gt;&lt;w:lang w:val=&quot;es-ES_tradnl&quot; /&gt;&lt;/w:rPr&gt;">
        <w:rPr/>
        <w:t xml:space="preserve">Interpuesta demanda sobre despido contra las empresas y entidades citadas, la Sentencia del Juzgado de lo Social núm. 1 de Vizcaya, de 19 de mayo de 1997, rechazando, entre otras, la excepción de falta de reclamación administrativa, estimó la demanda declarando la improcedencia de los despidos. La Sentencia de la Sala de lo Social del Tribunal Superior de Justicia del País Vasco de 24 de marzo de 1998, objeto de este recurso de amparo, revocó la anterior sentencia, desestimando la demanda originadora de las actuaciones, por falta de reclamación previa. </w:t>
      </w:r>
    </w:p>
    <w:p w:rsidRPr="00C21FFE" w:rsidR="00AD51A7" w:rsidRDefault="008777C4">
      <w:pPr>
        <w:rPr/>
      </w:pPr>
      <w:r w:rsidRPr="&lt;w:rPr xmlns:w=&quot;http://schemas.openxmlformats.org/wordprocessingml/2006/main&quot;&gt;&lt;w:lang w:val=&quot;es-ES_tradnl&quot; /&gt;&lt;/w:rPr&gt;">
        <w:rPr/>
        <w:t xml:space="preserve">Por último, los recurrentes formularon, como se ha dicho, recurso de casación para la unificación de doctrina que fue inadmitido mediante Auto de la Sala de lo Social del Tribunal Supremo, de 12 de noviembre de 1998 (notificado el 11 de febrero de 1999), porque el escrito de formalización del recurso carecía de la relación precisa y circunstanciada de la contradicción alegada (art. 222 LPL), y porque no concurría la contradicción doctrinal alegada entre la Sentencia impugnada y citada Sentencia de contraste (art. 217 LPL). </w:t>
      </w:r>
    </w:p>
    <w:p w:rsidRPr="00C21FFE" w:rsidR="00AD51A7" w:rsidRDefault="008777C4">
      <w:pPr>
        <w:rPr/>
      </w:pPr>
      <w:r w:rsidRPr="&lt;w:rPr xmlns:w=&quot;http://schemas.openxmlformats.org/wordprocessingml/2006/main&quot;&gt;&lt;w:lang w:val=&quot;es-ES_tradnl&quot; /&gt;&lt;/w:rPr&gt;">
        <w:rPr/>
        <w:t xml:space="preserve">Se imputa vulneración del art. 24.1 CE a la Sentencia de suplicación, por incurrir en un formalismo excesivo en la interpretación de un requisito legal, la reclamación administrativa previa, que ha cerrado definitivamente el acceso a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noviembre de 1999, la Sala Segunda acordó admitir a trámite la demanda de amparo y, mediante providencia de la misma fecha, formar la pieza separada para tramitar el incidente de suspensión, concediendo, según lo dispuesto en el art. 56 LOTC, un plazo de tres días a la parte recurrente y al Ministerio Fiscal para que alegasen lo que estimaran pertinente sobre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presentó su escrito de alegaciones el día 3 de diciembre de 1999, en el que solicitó que fuera denegada la petición de suspensión de la ejecución de la Sentencia impugnada, por estimarla improcedente. Tras recordar el criterio general de la no suspensión cuando se trata de resoluciones judiciales, y las excepciones que este Tribunal ha venido admitiendo sobre el mismo, en este caso los recurrentes no han aportado un principio razonable de prueba que permita la acreditación de la irreparabilidad del perjuicio que pudiera derivarse de la ejecución de la Sentencia impugnada. </w:t>
      </w:r>
    </w:p>
    <w:p w:rsidRPr="00C21FFE" w:rsidR="00AD51A7" w:rsidRDefault="008777C4">
      <w:pPr>
        <w:rPr/>
      </w:pPr>
      <w:r w:rsidRPr="&lt;w:rPr xmlns:w=&quot;http://schemas.openxmlformats.org/wordprocessingml/2006/main&quot;&gt;&lt;w:lang w:val=&quot;es-ES_tradnl&quot; /&gt;&lt;/w:rPr&gt;">
        <w:rPr/>
        <w:t xml:space="preserve">En este sentido, el Fiscal señala que los recurrentes han percibido una indemnización por despido improcedente, que ha sido dejada sin efecto por la resolución dictada en suplicación, con lo que, en definitiva, lo que se pretende ahora no es más que anticipar los efectos de un hipotético amparo, cuando no consta el perjuicio que podría derivarse de la no suspensión de la ejecución de la Sentencia dictada por la Sala de lo Social. Por lo que, a su juicio, no aparecen los presuntos perjuicios que de la ejecución se derivan, ni los actores han justificado que la situación financiera de la empresa pudiera hacer peligrar el cumplimiento de las obligaciones económicas que pudieran ser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25 de noviembre de 1999, la representación procesal de los recurrentes presentó escrito de alegaciones reiterando la solicitud de suspensión contenida en la demanda de amparo que conllevaría la devolución de las cantidades en su día consignadas, con el argumento de que la ejecución de las Sentencias producen consecuencias de difícil reparación para los recurrentes. A su juicio, en el caso de que el recurso de amparo fuera estimado, perdería éste su finalidad porque los importes de la condena no estarían, por tanto, garantizados, y no tendrían los trabajadores derecho a prestaciones por desempleo que, además, no lo vienen percibiendo desde enero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Y aunque este Tribunal al pronunciarse sobre la suspensión no puede prejuzgar la cuestión principal del proceso de amparo, ha de ponderar los efectos que puedan derivarse de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el derecho a una indemnización por despido improcedente ya percibida pero dejada sin efecto en suplicación pone en juego una obligación pecuniaria cuantificada y recuperable en principio, incluido el perjuicio sufrido por el lucro cesante, aun cuando esta afirmación admita matizaciones en función de circunstancias objetivas (cuantía) y subjetivas (situación económica del condenado). Sin embargo, tales extremos no han sido acreditados en modo alguno, pues los recurrentes han guardado silencio a este respecto y ni siquiera han alegado en este trámite de suspensión que el pago de tal cantidad hubiera de irrogar perjuicio alguno, capaz de hacer que el amparo perdiese su finalidad si llegase a buen puerto.  Pues bien, por más que las resoluciones judiciales ahora impugnadas puedan producir efectos desfavorables a los trabajadores que demandan amparo, su reparación posterior, en caso de estimarse, no sería difícil, pues tampoco parece dudosa la capacidad de la empresa para asumir la carga económica que derivaría de esta reversión. Por ello, ha de quedar en pie el criterio general de respetar la efectividad de las Sentencias cuyos efectos sean exclusivamente patrimoniales, que nos impide conceder la medida cautelar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de la ejecución de la resolución judicial reseñada en el encabezamiento.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