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3 de septiembre de 1999, el Procurador de los Tribunales don Isacio Calleja García, en representación de  doña Encarnación Caparrós Gavilán, doña Catalina Hidalgo López, doña Dolores Plaza Ortega, doña Isabel Pozas Huiza, doña Justina Ramos Campesino, doña Margarita Valdivia Huertas y doña Rosa Villanueva Cobo, formuló demanda contra el Auto del Tribunal Superior de Justicia de Andalucía (Sala de lo Social de Granada) de 5 de julio de 1999, dictado en el rollo de suplicación núm. 1627/99, por el que se acordaba desestimar el recurso de súplica contra Auto de la propia Sala de 11 de mayo de 1999, por el que se declaraba la inadmisión del recurso de suplicación interpuesto contra Sentencia de 16 de mayo de 1997 del Juzgado de lo Social núm. 2 de Jaén.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Las demandantes, enfermeras jubiladas del Servicio Andaluz de la Salud (SAS), venían percibiendo el complemento de pensión de jubilación regulado en el art. 151 del Estatuto de Personal Sanitario no Facultativo de la Seguridad Social, aprobado por Orden de 26 de abril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Pese a que en las resoluciones administrativas individuales por las que se les concedía el citado complemento se disponía expresamente que la cuantía del mismo no sufriría modificación alguna, aun cuando la pensión reconocida por la Seguridad Social experimentase variaciones, en abril de 1996, y con efectos retroactivos de 1 de enero de 1996, el SAS procedió a llevar a cabo un recorte o disminución en los importes individuales del referido complemento en cuantía igual a la del incremento de la pensión de jubilación de dicho ejercicio, de tal modo que la suma de ambas cantidades (pensión más complemento) era igual a la percibida por cada una de las recurrentes en 1995, medida que se ha reproducido en los tres ejercicios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Disconformes con tal proceder, las recurrentes interpusieron en 18 de septiembre de 1996 la oportuna demanda ante la jurisdicción social, que se tramitó bajo los autos núms. 823/96 del Juzgado de lo Social núm. 2 de Jaén, que dio lugar a Sentencia desestimatoria de 16 de mayo de 1997, en la que se indicaba que contra la misma cabría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Interpuesto en tiempo y forma dicho recurso, la Sala de lo Social de Granada del Tribunal Superior de Justicia de Andalucía dicto en fecha 11 de mayo de 1999 un Auto de inadmisión, por entender que la cuantía litigiosa era superior a 300.000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 Contra dicho Auto las recurrentes interpusieron recurso de súplica, que fue desestimado por el Auto ahora recurrido en amparo, en el que, además de insistirse en la insuficiencia de la cuantía litigiosa, se alude a que no aparece que la cuestión debatida afecte a un gran número de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recurrentes denuncian la vulneración del art. 24.1 CE en el Auto recurrido, al confirmar en él el Auto anterior de inadmisión del recurso de suplicación contra la Sentencia del Juzgado. Las recurrentes, que no cuestionan que la cuantía litigiosa es inferior a 300.000 pesetas, alegan la “afectación general”, que permite el acceso a la suplicación aun para asuntos de  escasa cuantía. Al respecto citan las Sentencias este Tribunal 79/1985 y 59/1986 sobre la interpretación del art. 153 LPL de 1980, cuya doctrina fue tenida en cuenta por el legislador al redactar en 1989 la Ley de Bases de Procedimiento Laboral, y el art. 188.1 b) del texto articulado de 1990, reproducido en idénticos términos por el art. 189.1 b) del vigente texto refundido, a cuyos elementos relativos a los recursos en procesos de cuantía inferior a 300.000 pesetas se refieren las recurrentes, sosteniendo que en el caso que nos ocupa, aun cuando ninguna de las partes efectuó alegación ni prueba en el juicio sobre tal afectación general, concurren los otros dos elementos que, de forma alternativa, permiten apreciarla. Afirman sobre el particular que estamos ante una cuestión que de forma notoria afecta a un gran número de beneficiarios, de lo que es revelador la interposición de recursos de suplicación en varios asuntos similares en un corto intervalo temporal. Pero sobre todo, a su juicio, es más patente que la cuestión litigiosa posee claramente un contenido de generalidad no puesto en duda por ninguna de las partes. Para los recurrentes se está discutiendo, no un tema puntual que afecte solo a la relación individual de cada una de las actoras con el SAS, sino una cuestión de carácter general, cual es, en definitiva, la de interpretar una norma, el art. 151 del Estatuto de Personal Sanitario Facultativo de la Seguridad Social, para establecer si el  complemento de pensión que en él se regula tiene, como pretende el SAS, un carácter absorbible relacionado con los sucesivos incrementos en la pensión de jubilación, o si por el contrario, como pretende esta parte, y como también sostenía el SAS hasta 1996, una vez establecida la cuantía de aquél,  la misma debe quedar ajena a los avatares o modificaciones que puedan producirse en la pensión de jubilación propiamente dicha. Hasta tal punto tal contenido de generalidad es claro, que la cuestión podía haber sido objeto de un conflicto colectivo planteable por quien tuviera legitimación para ello, legitimación activa de la que carecen las recurrentes, por lo cual debieron entablar demandas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9 de diciembre de 1999 se concedió a la parte recurrente un plazo de diez días para que aportara copia del Auto de 11 de mayo de 1999 y para que acreditase fehacientemente la fecha de notificación a su representante procesal del Auto de 5 de julio de 1999,  así como haber invocado ante la jurisdicción ordinaria el derecho constitucional que estima vulnerado, cuya diligencia fue cumplimentada por la parte por escrito registrado el 22 de octubre de 1999, complementado por otro de 27 de diciembre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31 de enero de 2000 la Sección Tercera acordó, de conformidad con lo dispuesto en el núm. 3 del art. 50 LOTC, conceder a la parte recurrente y al Ministerio Fiscal el plazo común de diez días para que formulasen las alegaciones que estimasen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febrero de 2000 tuvo entrada en este Tribunal el escrito de alegaciones del Ministerio Fiscal, en el que interesaba que, de acuerdo con lo dispuesto en los arts.86.1 inciso segundo y 80 LOTC, se dictara Auto inadmitiendo la demanda por falta de contenido constitucional. Tras referirse en su escrito a los Antecedentes, en términos coincidentes con los de la parte demandante y reproducir el planteamiento jurídico de ésta, así como la fundamentación del Auto de la Sala de lo Social del Tribunal Superior de Justicia de 11 de mayo de 1999, por el que se inadmitió el recurso de suplicación y la del de 5 de julio de 1999, desestimatorio del recurso de súplica contra el anterior, se refiere con amplia transcripción a la STC 108/1992, tras la que entra a analizar el carácter de notoriedad de la alegada afectación múltiple de la cuestión objeto del proceso, diciendo al respecto que, al tratarse de un complemento de pensión establecido para el personal sanitario no facultativo, la interpretación de la norma sería una cuestión en principio incardinable en los supuestos contemplados en el art. 189.1 b) LPL, lo que se corrobora por cuanto la desestimación de la demanda se  produjo en aplicación de doctrina dictada en unificación de doctrina por la Sala Cuarta del Tribunal Supremo al analizar tal interpretación. Pero, a juicio del Ministerio Fiscal, del examen del recurso dimana que la parte no basaba su demanda en la norma, ni en su interpretación, cuestión sobre la que existe doctrina unificadora, sino en que en las resoluciones administrativas individuales por las que se concedía el citado complemento se disponía expresamente que la cuantía del mismo no sufriría modificación alguna, aun cuando la pensión reconocida por la Seguridad Social variase (Hecho segundo de la demanda); esto es, se aducía una especificidad de las recurrentes, radicada en la resolución administrativa individual de concesión del complemento, y este extremo como acreditado se recoge en el segundo hecho probado de la Sentencia de instancia, peculiaridad que no aparece justificada como existente en la generalidad de los casos sobre la que ya hay doctrina unificada, sino que se resaltó como un tema puntual, afectante específicamente a las entonces actoras, sin que conste a cuántos trabajadores jubilados afecta tal especificidad, pues se ignora si el proceder el Organismo Autónomo al reconocer el complemento de pensión a las demandantes fue el usual, o si las resoluciones administrativas individuales de concesión en el caso de las demandantes fueron inusuales, porque de ello nada se dice; y en esas circunstancias, según el Ministerio Fiscal, la lacónica afirmación del Auto recurrente de que “no aparece que la cuestión debatida afecte a un gran número de trabajadores”, y consiguiente resolución inadmisoria del recurso no puede ser tildada de vulneración del derecho al recurso, pues parece estarse en presencia de una suma de conflictos individuales, al controvertirse no si, dado el tenor de la norma el complemento era invariable, sino si, dada la resolución individual de concesión, el Organismo Autónomo podría minorar el complemento de las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27 de marzo de 2000 se acordó, antes de entrar a resolver sobre la admisibilidad del recurso, dirigir atenta comunicación al Juzgado de lo Social núm. 2 de Jaén y Sala de lo Social del Tribunal Superior de Justicia de Granada, a fin de que, a la mayor brevedad posible, se remitiese a la Sala certificación  o copia adverada de las actuaciones correspondientes a los recursos 823/96 y recurso de suplicación 1627/97, respectivamente, habiendo tenido entrada testimonios de las actuaciones reclamadas.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examen de las alegaciones del Ministerio Fiscal en contraste con las de demanda y junto con el de las resoluciones judiciales recurridas y el de la Sentencia del Juzgado contra la que se intentó el recurso de suplicación, viene a confirmar la apreciación inicial de la providencia de 31 de enero de 2000 sobre la concurrencia del supuesto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núcleo de la fundamentación de la demanda consiste en el hecho de la afectación general de la cuestión litigiosa, no puesta en duda por ninguna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Este Tribunal ha tenido oportunidad de analizar la cuestión del acceso al recurso de suplicación de procesos de cuantía inferior a la cuantía establecida al efecto con carácter general, pero en los que se suscitan cuestiones que transcienden el círculo de los concretos litigantes y que tienen una afectación  general indubitada. Basta al efecto remitirse a la doctrina contenida en la STC 202/1996, de 9 de diciembre, FJ 2, con cita en ella de las SSTC 109/1992, 143/1992, 144/1992, 164/1992, 165/1992, 58/1993 y 347/1993, a cuya cita debe adicionarse la de las SSTC 79/1985, 59/1986 y 143/1987, Sentencias estas tres últimas citadas en las que se contiene el inicio de la doctrina que después quedó recogida en sede de Ley en el Art. 188.1 b) LPL de 1990 (Real Decreto legislativo 521/1990) y en el actual art. 189.1 b) LPL actualmente vigente (Texto Refundido aprobado por Real Decreto legislativo 2/1995).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la luz de esa doctrina resultaría en principio adecuada la admisión del amparo, partiendo de la base de la insuficiente motivación de los Autos recurridos, cuya negativa a la  afectación general adolece de falta de la adecuada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Ocurre, no obstante, que la razón del acceso a la suplicación de las cuestiones que, no siendo accesibles a ella por razón de la cuantía, lo sean por la posible afectación general, es la de posibilitar que los órganos jurisdiccionales superiores se pronuncien sobre dichas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Mas dada esa fundamentación, si la materia concreta de que se trate ha accedido ya por medio de otros recurso precedentes a dichos órganos, y se han pronunciado sobre la misma, la ratio fundamentadora de dicho acceso a la suplicación en otros casos se desvanece, cuando en definitiva los fallos ulteriores en otros procesos no hacen sino aplicar la doctrina general ya declarada por los precedentes recurso. Y eso es lo que ocurre en el caso actual, en el que la Sentencia del Juzgado de lo Social se remite a la jurisprudencia recaída  en unificación de doctrina, con cita de las Sentencias del Tribunal Supremo de 20 de junio y 28 de junio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existencia, constatada, de dicha doctrina unificadora, produce la eliminación de la afectación general, como elemento determinante del acceso a la suplicación. El hecho de que los Autos recurridos no aludiesen a tal fundamento de inadmisión, no puede  vedarnos el que, a la vista de la Sentencia del Juzgado, pueda ser apreciado por este Tribunal, tras cuya apreciación el defecto de motivación de los Autos recurridos, no implica en este caso ningún efecto sustancial digno de tutela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Ha de concluirse así que no concurría en el caso de las recurrentes el elemento que pudiera haber justificado el acceso al recurso pretendido, por lo que, independientemente de su insuficiente motivación, los Autos recurridos, al negar la afectación general eran adecuado al caso, lo que determina la carencia de contenido constitucional de la demanda, y la inadmisión del recurso de amparo según lo dispuesto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la Sección</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del presente recurso de amparo y el archivo de las actuaciones.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