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marzo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22 de marzo de 2000, la Procuradora de los Tribunales doña Elvira Cámara López, en nombre y representación de don José Luis García Sedaño, interpone recurso de amparo contra la Sentencia dictada por la Sala Segunda del Tribunal Supremo el 7 de febrero de 2000, declarando no haber lugar al recurso de casación núm. 3528/98 interpuesto contra la Sentencia dictada por la Sección Primera de la Audiencia Provincial de Santander el 29 de junio de 1998, en causa seguida por delito de robo con homicidio. En la demanda de amparo se denuncia la vulneración de los derechos a la tutela judicial efectiva y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22 de febrero de 2001, acordó, respectivamente, la admisión a trámite de la demanda de amparo y la formación de pieza separada para la tramitación del incidente sobre suspensión de la ejecución, concediendo a la parte recurrente y al Ministerio Fiscal un plazo común de tres días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2 de marzo de 2001, la representación procesal del recurrente remite sus alegaciones, señalando la procedencia de la suspensión y más cuando el Sr. García Sedaño, mientras permaneció en libertad, cumplió a rajatabla con sus obligaciones apud acta, trabajando en el sostenimiento de su familia, sin intentar en ningún momento eludir la acción de la justicia. Si no se acordara la suspensión y el recurso prosperase se ocasionarían perjuicios irreparables a su defendido.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mediante escrito registrado el 9 de marzo de 2001, evacúa el trámite conferido. En él, tras recordar la doctrina de este Tribunal sobre los criterios que se utilizan para decidir sobre la suspensión, señala que, cumpliéndose la mayoría de los mismos (gravedad de la pena impuesta, bien jurídico atacado, alarma social causada, el riesgo de fuga, al haberse cumplido una mínima parte de la pena, y suponer la suspensión una perturbación grave de los intereses generales, que en sí misma supone el incumplimiento de una resolución judicial firme), debe denegarse la suspensión solicitada. No obstante lo anterior, finaliza, sería preciso otorgar prioridad en su resolución al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concreta de esta doctrina general, este Tribunal tiene declarado que, a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267/1995, 301/1995, 7/1996, 152/1996, 87/1997, 286/1997, 182/1998, 271/1998 y 7/2001).</w:t>
      </w:r>
    </w:p>
    <w:p w:rsidRPr="00C21FFE" w:rsidR="00AD51A7" w:rsidRDefault="008777C4">
      <w:pPr>
        <w:rPr/>
      </w:pPr>
      <w:r w:rsidRPr="&lt;w:rPr xmlns:w=&quot;http://schemas.openxmlformats.org/wordprocessingml/2006/main&quot;&gt;&lt;w:lang w:val=&quot;es-ES_tradnl&quot; /&gt;&lt;/w:rPr&gt;">
        <w:rPr/>
        <w:t xml:space="preserve">No obstante, el criterio referido a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-ejecutoriedad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418/1985,522/1985,53/1992, 152/1995, 196/1995, 121/1996, 163/1996,226/1996, 419/1997, 79/1998,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denegarse la suspensión solicitada.  Dada la larga duración de la pena privativa de libertad impuesta (veintinueve años de reclusión menor) no procede suspender su ejecución. Como se ha afirmado anteriormente, aunque la regla general de este Tribunal es que en el caso de penas privativas de libertad debe ser la suspensión, ya que su cumplimiento conlleva en sí mismo una pérdida, al menos parcial, de la finalidad del amparo, también se ha indicado que esta regla general no está exenta de excepciones y una de estas excepciones es, precisamente, la duración de la pena, ya que en el supuesto de que la pena sea de larga duración "el interés general reclama con especial intensidad su ejecución" (ATC 214/1997). Esta conclusión se impone no sólo por el necesario mantenimiento de la confianza en la justicia penal y los efectos disuasorios que se derivan de la finalidad de prevención general de los delitos (AATC 310/1996, 419/1997, 265/1998), sino también porque, como ha señalado el ATC 265/1998, la duración de la pena cuantifica "el desvalor del comportamiento enjuiciado y el daño social producido, según la apreciación del Tribunal sentenciador, que nosotros no podemos revisar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 señalarse, no obstante, que dada la irreparabilidad y la gravedad de los perjuicios que la ejecución de la condena que no ha sido suspendida causaría al recurrente en el caso de que este Tribunal estimare el presente recurso de amparo, estamos obligados a reducir en lo posible tan negativos efectos, por lo que como se ha hecho en casos análogos (entre otros, AATC 144/1990, 169/1995, 246/1996, 287/1996, 385/1996, 419/1997, 47/1998, 48/1998, 79/1998, 265/1998, 267/1998, 268/1998) es procedente resolver en el más breve plazo posible el presente recurso de amparo, incluso anteponiéndolo en el orden de señalamientos, una vez concluida su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