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1629/93 planteado por “Espai Urbá, S.L.” contra la Resolución de 27 de mayo de 1993 del Tribunal Económico-Administrativo Regional de Cataluña, desestimatoria de la reclamación económico-administrativa instada contra la liquidación de un recargo del 50 por 100 por el ingreso fuera de plazo de las retenciones a cuenta del IRPF del tercer trimestre de 1991, dictada por la Agencia Estatal de Administración Tributaria (Administración de LLeida).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16 de enero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1629/93 por el ingreso extemporáneo de las retenciones a cuenta del IRPF del tercer trimestre de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1998, la Sección Segunda de este Tribunal acordó admitir a trámite la cuestión registrada con el núm. 1155/98;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14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1155/98,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