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8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diciembre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6 de octubre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393/94 planteado por “Policlínica de Barcelona, S.A” contra la Resolución de 16 de noviembre de 1993 del Tribunal Económico-Administrativo Regional de Cataluña, desestimatoria de la reclamación económico-administrativa instada contra la liquidación de un recargo del 50 por 100 por el ingreso fuera de plazo de las retenciones a cuenta en concepto de IRPF del ejercicio 1991, dictada por la Agencia Estatal de Administración Tributaria (Delegación de Hacienda de Barcelona).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concluso el procedimiento, la Sala, al amparo del art. 35.2 LOTC, acordó, mediante providencia de 10 de septiembre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393/94 por el ingreso extemporáneo de las retenciones a cuenta del IRPF del ejercicio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septiembre de 1998, la Sección Tercera de este Tribunal acordó admitir a trámite la cuestión registrada con el núm. 2707/98;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de entrada el día 19 de octubre de 1998, el Presidente del Senado traslada el acuerdo de la Mesa por el que se ruega se tenga por personada a la Cámara y ofrecida su colaboración a los efectos del art. 88.1 LOTC. Asimismo, en escrito presentado el 26 de octubre de 1998,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27 de octubre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2707/98,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