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208</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16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6 de noviembre de 1999 el Procurador don Luis Carreras de Egaña, en nombre y representación de doña Mª de los Ángeles Cepero Rodríguez, formuló demanda de amparo constitucional contra la Sentencia núm. 171/98, dictada por el Juzgado de Primera Instancia núm. 9 de Madrid el 11 de marzo de 1998 (juicio ordinario de menor cuantía núm. 2287/95), así como contra el Auto de 11 de octubre de 1999, desestimatorio de la solicitud de nulidad deducida contra la anterior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hechos: La recurrente de amparo fue demandada en reclamación de cantidad junto con doña Consuelo García Navarro, una tercera persona, y la sociedad "Stregata, S.L.". </w:t>
      </w:r>
    </w:p>
    <w:p w:rsidRPr="00C21FFE" w:rsidR="00AD51A7" w:rsidRDefault="008777C4">
      <w:pPr>
        <w:rPr/>
      </w:pPr>
      <w:r w:rsidRPr="&lt;w:rPr xmlns:w=&quot;http://schemas.openxmlformats.org/wordprocessingml/2006/main&quot;&gt;&lt;w:lang w:val=&quot;es-ES_tradnl&quot; /&gt;&lt;/w:rPr&gt;">
        <w:rPr/>
        <w:t xml:space="preserve">Intentando sin éxito su emplazamiento personal en los dos domicilios que figuraban en la demanda, ambos de Móstoles, el Juzgado acordó, mediante providencia de 30 de octubre de 1996, su emplazamiento y el de las demás demandadas mediante edicto, publicándose el mismo en el "Boletín Oficial de la Comunidad Autónoma de Madrid" (BOCM). </w:t>
      </w:r>
    </w:p>
    <w:p w:rsidRPr="00C21FFE" w:rsidR="00AD51A7" w:rsidRDefault="008777C4">
      <w:pPr>
        <w:rPr/>
      </w:pPr>
      <w:r w:rsidRPr="&lt;w:rPr xmlns:w=&quot;http://schemas.openxmlformats.org/wordprocessingml/2006/main&quot;&gt;&lt;w:lang w:val=&quot;es-ES_tradnl&quot; /&gt;&lt;/w:rPr&gt;">
        <w:rPr/>
        <w:t xml:space="preserve">Ante la incomparecencia de las demandadas, por providencia de 31 de marzo de 1997 todas ellas fueron declaradas en rebeldía, acordando el Juzgado que las demás resoluciones que recayeren les fuesen notificadas en estrados. El 11 de marzo de 1998 se dictó Sentencia, publicada igualmente en el BOCM de 1 de julio de 1998, en la que se condenaba a la recurrente a abonar a los actores, de forma solidaria con el resto de las demandadas, la cantidad de 7.000.000 de pesetas, más intereses. </w:t>
      </w:r>
    </w:p>
    <w:p w:rsidRPr="00C21FFE" w:rsidR="00AD51A7" w:rsidRDefault="008777C4">
      <w:pPr>
        <w:rPr/>
      </w:pPr>
      <w:r w:rsidRPr="&lt;w:rPr xmlns:w=&quot;http://schemas.openxmlformats.org/wordprocessingml/2006/main&quot;&gt;&lt;w:lang w:val=&quot;es-ES_tradnl&quot; /&gt;&lt;/w:rPr&gt;">
        <w:rPr/>
        <w:t xml:space="preserve">Tras instarse, también por medio de edicto publicado en el BOCM, el embargo de una vivienda propiedad de la recurrente (sito asimismo en Móstoles y que constituía su domicilio habitual), ésta tuvo conocimiento del proceso, instando el 6 de septiembre de 1999 la nulidad de actuaciones por indefensión. Dicha solicitud fue desestimada por el Juzgado al haberse intentado el emplazamiento personal en los domicilios que se indicaban en la demanda, e incluso en el de la sociedad mencionada, de la que la recurrente y la segunda de las demandadas eran administradoras solidarias y que no constaba que estuviera disuelta en aquella fecha. </w:t>
      </w:r>
    </w:p>
    <w:p w:rsidRPr="00C21FFE" w:rsidR="00AD51A7" w:rsidRDefault="008777C4">
      <w:pPr>
        <w:rPr/>
      </w:pPr>
      <w:r w:rsidRPr="&lt;w:rPr xmlns:w=&quot;http://schemas.openxmlformats.org/wordprocessingml/2006/main&quot;&gt;&lt;w:lang w:val=&quot;es-ES_tradnl&quot; /&gt;&lt;/w:rPr&gt;">
        <w:rPr/>
        <w:t xml:space="preserve">Mediante providencia del Juzgado de fecha 18 de noviembre de 1998 se acordó el embargo de la vivienda del demandante de amparo, sita en Móstoles, Urbanización La Loma, Bloque 125, piso 2.°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amparo, que articula su queja en virtud del art. 44 LOTC, imputa a la resolución judicial recurrida vulneración del art. 24.1 CE al no haber sido llamado el demandante de amparo al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mediante providencia de 26 de abril de 2001, acordó, de conformidad con lo dispuesto en el art. 11.2 LOTC, admitir a trámite el presente recurso de amparo. En la misma fecha dictó providencia por la que, conforme determina el art. 56 de la Ley Orgánica de este Tribunal, otorgó a las partes y al Ministerio Fiscal un plazo común de tres días para que alegasen lo que estimaran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demandante y el Ministerio Fiscal, mediante sendos escritos registrados en este Tribunal los días 8 y 10 de mayo, respectivamente, interesaron la suspensión y la denegación de ésta. La primera reiterando la argumentación ya vertida en la demanda sobre la irreparabilidad del perjuicio que la ejecución de la Sentencia pudiera acarrearle. El Ministerio Fiscal, partiendo de la doctrina general de este Tribunal acerca de la suspensión, entiende que, para evitar el perjuicio que la ejecución de la Sentencia pudiera parar al demandante, en concreto en lo que a la enajenación de la finca embargada se refiere, el Ordenamiento jurídico dispone de medios suficientes para hacer que un eventual adquirente a título oneroso de la finca embargada no consolide una situación jurídica inexpugnable. Tal ocurre con la anotación preventiva de la demanda prevista el art. 42 de la Ley Hipotecaria, que, al advertir a terceros de la existencia de un litigio sobre el bien inscrito que pretenden adquirir, determina que aquéllos puedan verse privados del bien litigioso percibiendo lo que por él hubiesen pagado si la resolución de la controversia a la que el bien está afecto no es favorable para el transmitente.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o 99/1998)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La premisa de partida es que la interposición del recurso de amparo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Queda a salvo el supuesto expresamente previsto en la LOTC, y aun en este caso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 exige también una delicada ponderación de los intereses generales o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aunque este Tribunal no puede prejuzgar la cuestión principal del proceso de amparo al pronunciarse sobre la suspensión, ha de ponderar los efectos que puedan derivarse de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que sólo hay perjuicio irreparable cuando la ejecución prevista del acto recurrido haya de provocar que el posterior y eventual restablecimiento del recurrente en el derecho constitucional vulnerado, en el supuesto de que el amparo sea otorgado, impida definitivamente que tal restauración sea efectiva. En general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573/1985, 574/1985 ó 275/1990).  Sólo en aquellos supuestos en los cuales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y 52/1989, entre otros), hemos accedido eventualmente a la suspensión.</w:t>
      </w:r>
    </w:p>
    <w:p w:rsidRPr="00C21FFE" w:rsidR="00AD51A7" w:rsidRDefault="008777C4">
      <w:pPr>
        <w:rPr/>
      </w:pPr>
      <w:r w:rsidRPr="&lt;w:rPr xmlns:w=&quot;http://schemas.openxmlformats.org/wordprocessingml/2006/main&quot;&gt;&lt;w:lang w:val=&quot;es-ES_tradnl&quot; /&gt;&lt;/w:rPr&gt;">
        <w:rPr/>
        <w:t xml:space="preserve">En el caso concreto que analizamos, como se ha expuesto en los antecedentes de esta resolución, el demandante de amparo, alega que no ha participado en el proceso declarativo que llevó a la determinación de la cantidad adeudada, ni en el posterior proceso de ejecución de la Sentencia condenatoria en el que se trabó embargo sobre un inmueble del que es titular y que al parecer constituye su vivienda habitual. El éxito del amparo (en el que se alega indefensión) conllevaría en este caso la participación del demandado en la fase declarativa del proceso y, eventualmente, en la ejecutiva, con intervención en el mismo y posibilidades de satisfacer la deuda que en su caso se declare en sentencia, lo que permitiría evitar el procedimiento de apremio sobre un bien tan esencial como la propia vivienda.</w:t>
      </w:r>
    </w:p>
    <w:p w:rsidRPr="00C21FFE" w:rsidR="00AD51A7" w:rsidRDefault="008777C4">
      <w:pPr>
        <w:rPr/>
      </w:pPr>
      <w:r w:rsidRPr="&lt;w:rPr xmlns:w=&quot;http://schemas.openxmlformats.org/wordprocessingml/2006/main&quot;&gt;&lt;w:lang w:val=&quot;es-ES_tradnl&quot; /&gt;&lt;/w:rPr&gt;">
        <w:rPr/>
        <w:t xml:space="preserve">No puede olvidarse tampoco que la ejecución de la Sentencia sobre el bien inmueble que constituye su vivienda habitual desembocaría en la transmisión del dominio acordada con todas sus consecuencias, lo que daría lugar a una situación jurídica difícilmente reversible. Tales circunstancias nos llevan a adoptar la medida cautelar pretendida sólo en cuanto a la subasta del bien embargado, pues el embargo, en sí mismo considerado, no produce directamente perjuicio irreparable y, a la vez, garantiza la ejecución de la Sentencia recurrida en amparo si éste no fuese otorgado.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ello, la Sala acuerda suspender la ejecución de la Sentencia de 11 de marzo de 1998 dictada por el Juzgado de Primera Instancia núm. 9 de Madrid en el juicio de menor cuantía núm. 2287/95, en cuanto a la ejecución del embargo trabado</w:t>
      </w:r>
    </w:p>
    <w:p w:rsidRPr="" w:rsidR="00AD51A7" w:rsidRDefault="008777C4">
      <w:pPr>
        <w:rPr/>
      </w:pPr>
      <w:r w:rsidRPr="&lt;w:rPr xmlns:w=&quot;http://schemas.openxmlformats.org/wordprocessingml/2006/main&quot;&gt;&lt;w:szCs w:val=&quot;24&quot; /&gt;&lt;/w:rPr&gt;">
        <w:rPr/>
        <w:t xml:space="preserve">sobre los derechos de propiedad del inmueble sito en Móstoles, Urbanización La Loma, Bloque 125, piso segundo, letra 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dieciséis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