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13 de marzo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18 de abril de 2001, don Eduardo Codes Feijoo, Procurador de los Tribunales y de don Ignacio y don Alvaro Torres García, interpuso recurso de amparo contra la Sentencia de 14 de marzo de 2001 y el Auto de aclaración de 22 de marzo de 2001, de la Audiencia Provincial de Guipúzcoa, Sección Segunda, que resuelve recurso de apelación contra la dictada por el Juzgado de lo Penal núm. 5 de San Sebastián en causa núm. 127/00, seguida por delito de atentado, lesiones y daños.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Los recurrentes fueron inicialmente absueltos del delito de atentado y de las faltas de lesiones y daños de las que eran acusados, por Sentencia del Juzgado núm. 5 de los de San Sebastián, de fecha 13 de noviembre de 2000, por entender que no resultaba probado el elemento esencial del delito: el acometimiento al agente de la autoridad. </w:t>
      </w:r>
    </w:p>
    <w:p w:rsidRPr="00C21FFE" w:rsidR="00AD51A7" w:rsidRDefault="008777C4">
      <w:pPr>
        <w:rPr/>
      </w:pPr>
      <w:r w:rsidRPr="&lt;w:rPr xmlns:w=&quot;http://schemas.openxmlformats.org/wordprocessingml/2006/main&quot;&gt;&lt;w:lang w:val=&quot;es-ES_tradnl&quot; /&gt;&lt;/w:rPr&gt;">
        <w:rPr/>
        <w:t xml:space="preserve">b) Por Sentencia de 14 de marzo de 2001, la Sección Segunda de la Audiencia Provincial de Guipúzcoa, al resolver el recurso de apelación, modifica los hechos probados de la Sentencia de instancia (que los acusados insultaron al agente y le agredieron, haciéndole caer al suelo junto con uno de ellos) y la revoca, condenando a cada uno de los recurrentes como autores de un delito de atentado sin circunstancias a la pena de un año y tres meses de prisión; como autores de una falta de lesiones a la pena de un mes de multa con cuota de 200 pesetas diarias, y como autores de una falta de daños a la pena de un mes de multa con cuota de 200 pesetas diarias, así como a indemnizar al agente en 11.500 pesetas y al Ayuntamiento de San Sebastián en 2.830 pesetas. Igualmente se les condena al pago de las costas. </w:t>
      </w:r>
    </w:p>
    <w:p w:rsidRPr="00C21FFE" w:rsidR="00AD51A7" w:rsidRDefault="008777C4">
      <w:pPr>
        <w:rPr/>
      </w:pPr>
      <w:r w:rsidRPr="&lt;w:rPr xmlns:w=&quot;http://schemas.openxmlformats.org/wordprocessingml/2006/main&quot;&gt;&lt;w:lang w:val=&quot;es-ES_tradnl&quot; /&gt;&lt;/w:rPr&gt;">
        <w:rPr/>
        <w:t xml:space="preserve">c) En fecha 22 de marzo de 2001, la Audiencia de Guipúzcoa dicta Auto de aclaración de la anterior Sentencia, que subsana un error mecanográfico en la citada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se declare que las resoluciones judiciales citadas han vulnerado el derecho de los recurrentes a la tutela judicial efectiva (art. 24.1 CE), a un proceso con todas las garantías (art. 24.2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artículo 56.1 LOTC, se solicita que se deje en suspenso la ejecución de la Sentencia, alegando que su ejecución podría ocasionar a los recurrentes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diciembre de 2001, la Sección Primera de este Tribunal acordó la admisión a trámite de la demanda así como, a tenor de lo establecido en el artículo 51 LOTC, requerir atentamente al Juzgado de lo Penal núm. 5 de Donostia-San Sebastián y a la Audiencia Provincial de Guipúzcoa, para que en plazo de diez días remitieran testimonio del procedimiento y, de conformidad con lo preceptuado en el art. 52 LOTC, dar vista de todas las actuaciones al Ministerio Fiscal y al Procurador de los recurrentes, para que, en el plazo común de veinte días, puedan presentar las alegaciones que a su derecho convenga. </w:t>
      </w:r>
    </w:p>
    <w:p w:rsidRPr="00C21FFE" w:rsidR="00AD51A7" w:rsidRDefault="008777C4">
      <w:pPr>
        <w:rPr/>
      </w:pPr>
      <w:r w:rsidRPr="&lt;w:rPr xmlns:w=&quot;http://schemas.openxmlformats.org/wordprocessingml/2006/main&quot;&gt;&lt;w:lang w:val=&quot;es-ES_tradnl&quot; /&gt;&lt;/w:rPr&gt;">
        <w:rPr/>
        <w:t xml:space="preserve">En la misma providencia se decidió formar la correspondiente pieza separada de suspensión y, mediante otra providencia de la misma fecha, se acordó, de conformidad con lo previsto en el artículo 56 LOTC, conceder un plazo común de tres días al Ministerio Fiscal y a los recurrentes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26 de diciembre de 2001 se registró en este Tribunal el escrito de alegaciones de los solicitantes de amparo, en el que se expone que con fecha 14 de mayo de 2001 se dictó un Auto por el Juzgado de lo Penal núm. 4 de San Sebastián (en ejecutoria 727/01), en el que se declaraba firme la Sentencia y se acordaba, para su ejecución, librar nota al Registro Central de Penados y Rebeldes, a fin de que se procediera a la anotación de la condena o a la suspensión en su caso. Asimismo, se requería a los condenados que hicieran efectivo el pago de la multa impuesta (de 12.000 pesetas cada uno) y que abonaran la indemnización fijada en la Sentencia. Interpuesto recurso de reforma contra dicho Auto, en el que se solicita la suspensión de la ejecución, alegando que se encuentra interpuesto recurso de amparo y que la ejecución podría hacer perder al amparo su finalidad, amen de provocar graves perjuicios a los condenados, el mismo es desestimado por Auto de 19 de junio de 2001, procediendo a la mencionada ejecución. A la vista de todo lo cual, se solicita de la anulación de las diligencias de ejecución y que se acuerde la suspensión de la condena, en tanto en cuanto este Tribunal no resuelva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4 de enero de 2002 tuvo entrada en este Tribunal el escrito de alegaciones del Ministerio Fiscal. En dicho escrito, tras un breve relato de los antecedentes procesales, el Ministerio Público sostiene la conveniencia de acceder a la suspensión interesada con respecto al cumplimiento de las penas privativas de libertad. Entiende el Fiscal, sobre la base de la doctrina constitucional y desde la perspectiva de la irreparabilidad del perjuicio, que la ejecución de la pena privativa de libertad de un año y tres meses de duración, que puede incrementarse en veinticinco días si los penados no abonan las multas, determinaría que, por poco tiempo que transcurriese hasta la resolución de la pretensión de amparo, caso de otorgarse el mismo carecería de finalidad, pues la pena ya estaría cumplida. Por lo cual no se opone a la suspensión de estas penas. Sin embargo, en lo tocante a la suspensión de las de contenido económico, entiende el Ministerio Fiscal que no procede en el momento actual la suspensión, pues sus perjuicios son perfectamente reparables en caso de concederse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y 186/1998),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habitualmente sucede en las condenas de contenido patrimonial), a diferencia de aquellos otros en los que, por afectar a bienes o derechos del recurrente en amparo de imposible o muy difícil restitución a su estado anterior, procede acordarla, lo cual ocurre,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obliga a considerar, si se compara la duración de la pena privativa de libertad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-multa, costas procesales e indemnización- de conformidad con el criterio de este Tribunal, según el cual, por tratarse de condenas de contenido económico, los perjuicios anejos a su ejecución son perfectamente reparables, incluso aunque se otorgase el amparo (AATC 152/1996, 371/1996, 91/1997, 181/1998, 182/1998, 273/1998, 189/2000, 193/2000 y 204/2000). Este criterio se ve confirmado porque el recurrente no acredita de qué modo el cumplimiento de lo resuelto causaría un perjuicio que hiciera perder al amparo su finalidad. Tampoco procede, en el momento actual, la suspensión de la responsabilidad personal subsidiaria para el caso de impago de la pena de multa -veinticinco días de arresto sustitutorio-, pues se trata de una eventualidad incierta en este momento, que depende de que la multa no llegue a ser abonada voluntariamente o por la vía de apremio. En cualquier caso, de sobrevenir esta eventualidad futura, ello podría dar lugar a la modificación de la medida cautelar que ahora se adopta, en virtud de lo establecido en el artículo 57 LOTC (AATC 107/1998, 136/1999, 227/1999, 245/1999 y 61/2000).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Sección Segunda de la Audiencia Provincial de Guipúzcoa, de 14 de marzo de 2001, exclusivamente en lo referente a la pena privativa de libertad de un año y tres meses de prisión.</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