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7 de mayo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marzo de 2001, la Letrada de la Junta de Extremadura, en la representación que legalmente ostenta, promovió recurso de inconstitucionalidad frente a los arts. 79 a 83 de la Ley 13/2000, de 28 de diciembre, de Presupuestos Generales del Estado para el año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inconstitucionalidad fue admitido a trámite mediante providencia de la Sección Tercera de fecha 27 de marzo de 2001. Dicha providencia también acordó dar traslado de la demanda y documentos presentados al Congreso de los Diputados, al Senado y al Gobierno, a fin de que pudieran personarse en el procedimiento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compareció el Abogado del Estado, en representación del Gobierno, solicitando que en su día el Tribunal dicte Sentencia por la que se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Congreso de los Diputados, comunicó al Tribunal que no se personaría ni formularía alegaciones, mientras que el Senado se dio por personado pero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25 de febrero de 2002, el Letrado de la Junta de Extremadura comunicó al Tribunal que, siguiendo instrucciones del Consejo de Gobierno de la Junta de Extremadura, conforme a su Acuerdo adoptado en sesión de 19 de febrero de 2001, que adjunta, desiste del recurso de inconstitucionalidad planteado frente a la Ley 13/2000, de 28 de diciembre, de Presupuestos Generales del Estado para el año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26 de febrero de 2002, la Sección Tercera acordó tener por recibido el escrito presentado por el Letrado de la Junta de Extremadura el día 25 de febrero de 2002 y dar traslado del mismo al Abogado del Estado para que alegue lo que estime oportuno acerca de la solicitud de desistimiento formulada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registrado el día 12 de marzo de 2002, comunicó al Tribunal que no se opone a la solicitud de desistimiento presentada por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procesal del recurrente, debidamente autorizada, según certificaciones de los acuerdos adoptados al efecto por el Consejo de Gobierno de la Junta de Extremadura, pide que se le tenga por desistido del recurso interpuesto y el Abogado del Estado no plantea ninguna objeción los desistimientos formalizados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Consejo de Gobierno de la Junta de Extremadura en el recurso de inconstitucionalidad núm. 1330-2001 promovido por el mismo contra los arts. 79 a 83 de la Ley 13/2000, de 28 de diciembre, de Presupuestos Generales del Estado para el año 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