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21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marzo de 1999, la Letrada de la Junta de Extremadura, en la representación que legalmente ostenta, promovió recurso de inconstitucionalidad frente a los arts. 82 a 87 de la Ley 49/1998, de 30 de diciembre, de Presupuestos Generales del Estado para el año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Primera de fecha 13 de abril de 1999. Dicha providencia también acordó dar traslado de la demanda y documentos presentados al Congreso de los Diputados, al Senado y al Gobierno, a fin de que pudieran personarse en el procedimiento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compareció el Abogado del Estado, en representación del Gobierno, solicitando que en su día el Tribunal dicte Sentencia por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Congreso de los Diputados, comunicó al Tribunal que no se personaría ni formularía alegaciones, mientras que el Senado se dio por personado pero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febrero de 2002, el Letrado de la Junta de Extremadura comunicó al Tribunal que, siguiendo instrucciones del Consejo de Gobierno de la Junta de Extremadura, conforme a su Acuerdo adoptado en sesión de 19 de febrero de 2002, que adjunta, desiste del recurso de inconstitucionalidad planteado frente a la Ley 49/1998, de 30 de diciembre, de Presupuestos Generales del Estado para el año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26 de febrero de 2002, la Sección Segunda acordó tener por recibido el escrito presentado por el Letrado de la Junta de Extremadura el día 25 de febrero de 2002 y dar traslado del mismo al Abogado del Estado para que alegue lo que estime oportuno acerca de la solicitud de desistimiento formulada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12 de marzo de 2002, comunicó al Tribunal que no se opone a la solicitud de desistimiento presentada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recurrente, debidamente autorizada, según certificaciones de los acuerdos adoptados al efecto por el Consejo de Gobierno de la Junta de Extremadura, pide que se le tenga por desistido del recurso interpuesto y el Abogado del Estado no plantea objeción alguna al desistimiento formalizado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Consejo de Gobierno de la Junta de Extremadura en el recurso de inconstitucionalidad núm. 1296-1999 promovido por el mismo contra los arts. 82 a 87 de la Ley 49/1998, de 30 de diciembre, de Presupuestos Generales del Estado para el</w:t>
      </w:r>
    </w:p>
    <w:p w:rsidRPr="" w:rsidR="00AD51A7" w:rsidRDefault="008777C4">
      <w:pPr>
        <w:rPr/>
      </w:pPr>
      <w:r w:rsidRPr="&lt;w:rPr xmlns:w=&quot;http://schemas.openxmlformats.org/wordprocessingml/2006/main&quot;&gt;&lt;w:szCs w:val=&quot;24&quot; /&gt;&lt;/w:rPr&gt;">
        <w:rPr/>
        <w:t xml:space="preserve">año 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