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99</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5 de junio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17 de mayo de 2001 el Procurador de los Tribunales don José Manuel Dorremochea Aramburu, en nombre y representación de don Juan Carlos Prieto Fernández, interpone recurso de amparo contra la Sentencia dictOctava de la Audiencia Provincial de Barcelona el 21 de marzo de 2001, en el rollo de apelación núm. 107-2001, por la que se condenó al recurrente, como autor responsable de un delito contra la seguridad del tráfico, a las penas de cinco meses de multa con una cuota diaria de mil pesetas, con la responsabilidad personal subsidiaria de un día de privación de libertad por cada dos cuotas impagadas, y privación del permiso de conducir vehículos a motor y ciclomotores por el plazo de un año y seis meses y pago de las costas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sendas providencias de 21 de mayo de 2002, acordó, respectivamente, la admisión a trámite de la demanda de amparo y la formación de pieza separada para la tramitación del incidente sobre la suspensión solicitada, concediendo al recurrente y al Ministerio Fiscal el plazo común de tres días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Procurador Sr. Dorremochea Aramburu efectúa sus alegaciones mediante escrito registrado el 30 de mayo de 2002, insistiendo, como ya lo hizo en la demanda de amparo, en que la no suspensión de la pena de privación del permiso de conducir de un año y seis meses ocasionaría un perjuicio irreparable al recurrente que, además, es chofer de profesión, haciendo perder al amparo su finalidad, sin que existan motivos de denegación por peligro de perturbación grave de los intereses generales o libertades públicas de un tercero. No se hace referencia alguna respecto de la pena de multa y del arresto sustitutorio,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evacúa el trámite conferido mediante escrito registrado el 3 de junio de 2002. En él señala que la pena de multa, al ser de contenido meramente económico, admitiría la restitución íntegra del perjuicio causado por su ejecución, además de no haberse alegado perjuicio alguno que justifique la suspensión de dicha pena, por lo que no debe suspenderse, como tampoco el pago de las costas, por idénticos motivos. En cuanto a la pena de privación del permiso de conducir el Fiscal considera que, alegadas circunstancias laborales para solicitar la suspensión y acreditada en las actuaciones que la profesión del recurrente es conductor de camiones, la no suspensión acarrearía graves perjuicios al no poder trabajar, por lo que estima debe accederse a la suspensión de esa concreta pena a pesar de la no desdeñable gravedad de los hechos, pues no existiría perjuicio a terceros ni perturbación grave de los intereses generales.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todos, AATC 18/1998, 47/1998, 79/1998, 182/1998 y 186/1998),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y 25/2002).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establecido como criterio general la improcedencia de la suspensión de la ejecución de aquellos fallos judiciales que admiten la restitución íntegra de lo ejecutado (como, por lo general, sucede en las condenas de contenido patrimonial),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Dado que el recurrente nada solicita respecto a la multa impuesta y, en caso de impago, al arresto sustitutorio, ni a las costas, aplicada la doctrina expuesta al presente caso, no ha de accederse a su suspensión. Cuestión distinta es la referida a la pena de privación del permiso de conducir, pues, analizando el supuesto de autos, aunque puede advertirse que los hechos por los que fue condenado entrañan gravedad, sí aparece alegada y acreditada la existencia de un posible perjuicio de difícil reparación al recurrente, de prosperar el amparo, basado en circunstancias laborales, habida cuenta de que su profesión es la de conductor de camiones. Además no se aprecia la existencia de eventuales perjuicios a terceros y de perturbación grave de los intereses generales más allá de la que toda inejecución de una Sentencia por sí mismo comporta. En ese sentido, concurren circunstancias que indican que se haría perder al amparo su finalidad en caso de no accederse a la suspensión interesada. Por ello procede acordar la suspensión de la pena de privación del permiso de conducir.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de la Sección Octava de la Audiencia Provincial de Barcelona 21 de marzo de 2001, en el rollo de apelación núm.  107-2001, tan sólo respecto de la pena de privación del permiso de conducir.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