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noviembre de 2000 fue registrado en este Tribunal oficio de fecha 23 de noviembre de 2000, remitido por la Sala de lo Contencioso Administrativo (Sección Segunda) del Tribunal Superior de Justicia del País Vasco, al que se adjuntaba, entre otros testimonios, el del Auto del mismo órgano judicial, de 26 de septiembre de 2000,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Del citado Auto se deduce implícita pero claramente que el objeto de esta cuestión de inconstitucionalidad se limita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el Decreto del Alcalde de Guecho, de 13 de abril de 1999, por el que se exigía el pago de 16.460.431 pesetas como valor del 10 por 100 del aprovechamiento urbanístico de cesión obligatoria correspondiente a la realización de obras de construcción de 8 viviendas y locales comerciales en el núm. 16 de la calle Paulino Mendivil. Antes de dictar la Sentencia para resolver el recurso de apelación interpuesto contra la Sentencia de primera instancia, la Sala de lo Contencioso Administrativo (Sección Segunda) del Tribunal Superior de Justicia del País Vasco dictó providencia por la que se acordaba, conforme a la regulación del art. 35 LOTC, oír a las partes y al Ministerio Fiscal sobre la pertinencia de plantear cuestión de inconstitucionalidad sobre el precepto citado de la Ley Vasca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sería un presupuesto de hecho del que necesariamente habría que partir, puesto que este dato no fue controvertido en la instancia.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abril de 2001 la Sección Segunda de este Tribunal acordó admitir a trámite la presente cuestión de inconstitucionalidad; dar traslado de las actuaciones recibidas, conforme establece el art. 37.2 LOTC, al Congreso de los Diputados y al Senado, así como al Gobierno y al Parlamento Vasco, por conducto de sus Presidentes, al Gobierno de la Nación, por conducto del Ministro de Justicia, y al Fiscal General del Estado, para que pudieran personarse en el proceso y formular las alegaciones que tuvieran por convenientes; y publicar la incoación de la cuestión en los Boletines Oficiales del Estado y del País Vasco. La admisión a trámite de la presente cuestión de inconstitucionalidad fue publicada en el "Boletín Oficial del Estado" de 10 de mayo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este Tribunal el 9 de mayo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Por escrito que tuvo entrada en este Tribunal el 17 de mayo de 2001 presentó sus alegaciones el Abogado del Estado, en representación del Gobierno de la Nación, que concluía solicitando que se estimara la cuestión planteada. Las alegaciones del Letrado del Parlamento Vasco fueron presentadas por escrito que tuvo entrada en este Tribunal el 15 de mayo de 2001, en el que se solicitaba la desestimación de la cuestión. El Letrado de los Servicios Jurídicos Centrales de la Administración de la Comunidad Autónoma del País Vasco presentó su escrito de alegaciones el 23 de mayo de 2001 y en él solicitaba la desestimación de la cuestión de inconstitucionalidad. El Fiscal General del Estado presentó su escrito de alegaciones el 28 de mayo de 2001 y en él solicitaba la desestimación de la cuestión planteada. Por escrito que tuvo entrada en este Tribunal el 29 de mayo de 2001 la Presidenta del Senado comunicaba que la Mesa de la Cámara había adoptado el acuerdo de solicitar que se la tuviera por personada en este proceso y de ofrecer su colaboración a los efectos de lo dispuesto en 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21 de mayo de 2002 la Sección Cuarta de este Tribunal acordó oír al Fiscal General del Estado, al Abogado del Estado y a los representantes procesales del Parlamento y del Gobierno Vascos para que alegaran lo que estimaran conveniente sobre la posible extinción de esta cuestión de inconstitucionalidad como consecuencia de la carencia sobrevenida de objeto derivada de la STC 54/2002, de 27 de febrero, publicada en el Boletín Oficial del Estado de 3 de abril de 2002. Formularon alegaciones el Abogado del Estado, por escrito presentado el 4 de junio de 2002; el Letrado de los Servicios Jurídicos Centrales de la Administración de la Comunidad Autónoma del País Vasco, por escrito presentado el 31 de mayo de 2002; y el Fiscal General del Estado, por escrito presentado el 6 de junio de 2002. Todos ellos solicitaban que se dictara Auto por el que se declarara la extinción de la presente cuestión de inconstitucionalidad, dado que la Sentencia citada ya ha declarado la inconstitucionalidad parcial del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Se desprende de forma evidente del Auto de planteamiento de la cuestión y de la providencia por la que el órgano judicial abrió el trámite de audiencia previsto en el art.  35.2 LOTC, que la cuestión se limita a plantear la duda de constitucionalidad de la nueva redacción que el citado artículo único de la Ley vasca 11/1998 dio al párrafo primero del apartado 1 del artículo único de la Ley del Parlamento Vasco 3/1997, de 25 de abril, por la que se determina la participación de la comunidad en las plusvalías generadas por la acción urbanística. Así pues, resulta patente que el único inciso que constituye el objeto de esta cuestión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se ha producido la extinción sobrevenida de este proceso como consecuencia de la desaparición sobrevenida de su objeto.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108/2001, de 8 de mayo, FJ Único; y 14/1996, de 17 de enero, FJ Único). Es esta extinción procesal una figura "cuya integración dentro de nuestro sistema de justicia constitucional resulta plenamente viable, pese al silencio de la LOTC, en razón de la virtualidad propia de los principios que inspiran la institución procesal"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6292-2000,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