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marzo de 2001 fue registrado en este Tribunal oficio de fecha 13 de marzo de 2001, remitido por la Sala de lo Contencioso Administrativo (Sección Segunda) del Tribunal Superior de Justicia del País Vasco, al que se adjuntaba, entre otros testimonios, el del Auto del mismo órgano judicial, de 21 de febrero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 la Comisión de Gobierno del Ayuntamiento de Guecho, de 13 de marzo de 1999, por el que se exigía el pago en metálico de 6.864.080 pesetas como valor del 10 por 100 del aprovechamiento urbanístico de cesión obligatoria correspondiente a la realización de obras de construcción de 5 viviendas, garajes y trasteros, entre las calles Venturillena y Jaime Morera de Guecho. Antes de dictar la Sentencia para resolver el recurso de apelación interpuesto contra la Sentencia de primera instancia, la Sala de lo Contencioso Administrativo (Sección Segunda) del Tribunal Superior de Justicia del País Vasco dictó providencia de 28 de diciembre de 2000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sería un presupuesto de hecho del que necesariamente habría que partir, puesto que este dato no fue controvertido por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junio de 2001 la Sección Cuarta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 La admisión a trámite de la presente cuestión de inconstitucionalidad fue publicada en el Boletín Oficial del Estado de 6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11 de julio de 2001 la Presidenta del Senado comunicaba que la Mesa de la Cámara había adoptado el acuerdo de solicitar que se la tuviera por personada en este proceso y de ofrecer su colaboración a los efectos de lo dispuesto en el art. 88.1 LOTC. El Fiscal General del Estado presentó su escrito de alegaciones el 12 de julio de 2001 y en él solicitaba la desestimación de la cuestión planteada tras su acumulación a la cuestión de inconstitucionalidad núm. 6292-2000. Las alegaciones del Letrado del Parlamento Vasco fueron presentadas por escrito que tuvo entrada en este Tribunal el 13 de julio de 2001, en el que se solicitaba la desestimación de la cuestión. Por escrito que tuvo entrada en este Tribunal el 13 de julio de 2001 presentó sus alegaciones el Abogado del Estado, en representación del Gobierno de la Nación, que concluía solicitando que se estimara la cuestión planteada. Por escrito que tuvo entrada en este Tribunal el 10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El Letrado de los Servicios Jurídicos Centrales de la Administración de la Comunidad Autónoma del País Vasco presentó su escrito de alegaciones el 16 de julio de 2001 y en él solicitaba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mayo de 2002 la Sección Cuarta de este Tribunal acordó oír al Fiscal General del Estado, al Abogado del Estado y a los representantes procesales del Parlamento y del Gobierno Vascos para que alegaran lo que estimaran conveniente sobre la posible extinción de esta cuestión de inconstitucionalidad como consecuencia de la carencia sobrevenida de objeto derivada de la STC 54/2002, de 27 de febrero, publicada en el Boletín Oficial del Estado de 3 de abril de 2002. Formularon alegaciones el Abogado del Estado, por escrito presentado el 4 de junio de 2002; el Letrado de los Servicios Jurídicos Centrales de la Administración de la Comunidad Autónoma del País Vasco, por escrito presentado el 31 de mayo de 2002; y el Fiscal General del Estado, por escrito presentado el 6 de junio de 2002. Todos ellos solicitaban que se dictara Auto por el que se declarara la extinción de la presente cuestión de inconstitucionalidad, dado que la Sentencia citada ya ha declarado la inconstitucionalidad parcial del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Se desprende de forma evidente del Auto de planteamiento de la cuestión y de la providencia por la que el órgano judicial abrió el trámite de audiencia previsto en el art.  35.2 LOTC, que la cuestión se limita a plantear la duda de constitucionalidad de la nueva redacción que el citado artículo único de la Ley vasca 11/1998 dio al párrafo primero del apartado 1 del artículo único de la Ley del Parlamento Vasco 3/1997, de 25 de abril, por la que se determina la participación de la comunidad en las plusvalías generadas por la acción urbanística. Así pues, resulta patente que el único inciso que constituye el objeto de esta cuestión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se ha producido la extinción sobrevenida de este proceso como consecuencia de la desaparición sobrevenida de su objeto.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 Es esta extinción procesal una figura "cuya integración dentro de nuestro sistema de justicia constitucional resulta plenamente viable, pese al silencio de la LOTC, en razón de la virtualidad propia de los principios que inspiran la institución procesal" (AATC 114/1996, de 17 de enero, FJ Único ); y 108/2001, de 8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1716-2001,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