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2001 fue registrado en este Tribunal oficio de fecha 30 de octubre de 2001, remitido por la Sala de lo Contencioso Administrativo (SeTribunal Superior de Justicia del País Vasco, al que se adjuntaba, entre otros testimonios, el del Auto del mismo órgano judicial, de 22 de octubre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 la Comisión de Gobierno del Ayuntamiento de Hernani, de 17 de mayo de 2000, por el que se desestimaba el recurso de reposición formulado contra la exigencia del pago del 10 por 100 de cesión de aprovechamiento contenida en la licencia de construcción de un edificio de seis viviendas en la calle Kardaberaz, núm. 24. Antes de dictar la Sentencia para resolver el recurso de apelación interpuesto contra la Sentencia de primera instancia, la Sala de lo Contencioso Administrativo (Sección Segunda) del Tribunal Superior de Justicia del País Vasco dictó providencia de 13 de septiembre de 2001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22 de octubre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5893-2001,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