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194</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15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11 de diciembre de 2001 fue registrado en este Tribunal oficio de fecha 27 de noviembre de 2001, remitido por la Sala de lo Contencioso Administrativo (SeTribunal Superior de Justicia del País Vasco, al que se adjuntaba, entre otros testimonios, el del Auto del mismo órgano judicial, de 7 de noviembre de 2001,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El citado Auto limita el objeto de esta cuestión de inconstitucionalidad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deriva de un recurso contencioso administrativo interpuesto contra el Acuerdo de la Comisión de Gobierno del Ayuntamiento de Guecho, de 11 de mayo de 1999, y otras resoluciones municipales por las que se acordó enajenar el 10 por 100 del aprovechamiento lucrativo y conceder licencia de construcción de trece apartamentos y locales en la calle Mayor, núm. 11, de Las Arenas-Guecho.. Antes de dictar la Sentencia para resolver el recurso de apelación interpuesto contra la Sentencia de primera instancia, la Sala de lo Contencioso Administrativo (Sección Segunda) del Tribunal Superior de Justicia del País Vasco dictó providencia de 11 de diciembre de 2000 por la que se acordaba, conforme a la regulación del art. 35 LOTC, oír a las partes y al Ministerio Fiscal sobre la pertinencia de plantear cuestión de inconstitucionalidad sobre el precepto citado de la Ley Vasca 11/1998.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la Sección Segunda de la Sala de lo Contencioso 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no ha sido cuestionado por ninguna de las partes. </w:t>
      </w:r>
    </w:p>
    <w:p w:rsidRPr="00C21FFE" w:rsidR="00AD51A7" w:rsidRDefault="008777C4">
      <w:pPr>
        <w:rPr/>
      </w:pPr>
      <w:r w:rsidRPr="&lt;w:rPr xmlns:w=&quot;http://schemas.openxmlformats.org/wordprocessingml/2006/main&quot;&gt;&lt;w:lang w:val=&quot;es-ES_tradnl&quot; /&gt;&lt;/w:rPr&gt;">
        <w:rPr/>
        <w:t xml:space="preserve">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de la Ley estatal 6/1998, de 13 de abril, sobre Régimen del Suelo y Valoraciones (LRSV), regulador de condiciones básicas establecidas por el Estado conforme al art. 149.1.1 CE, y el artículo único de la Ley vasca 11/1998, ya que el precepto estatal únicamente impone el deber de cesión del 10 por 100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sino que es necesario plantear la cuestión de inconstitucionalidad, pues al Tribunal Constitucional compete el control de la constitucionalidad de las normas autonómicas con fuerza de ley [art. 153 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abril de 2002 la Sección Tercera de este Tribunal acordó oír al Fiscal General del Estado para que, conforme a lo previsto en el art. 37.1 LOTC, expusiera lo que considerara conveniente sobre la inadmisibilidad de la presente cuestión de inconstitucionalidad, por la posible carencia de objeto sobrevenida, como consecuencia de la STC 54/2002, de 27 de febrero, publicada en el Boletín Oficial del Estado de 3 de abril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formuló sus alegaciones por escrito que tuvo entrada en este Tribunal el 13 de mayo de 2002. Tras hacer referencia al fallo de la STC 54/2002, de 27 de febrero, se expone en el escrito que la expulsión del ordenamiento jurídico de la norma cuestionada determinaría la carencia sobrevenida de objeto del presente proceso constitucional, puesto que no podría ser objeto del mismo una norma que ya no está vigente, por lo que se solicita que se dicte Auto de inadmisión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 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El Auto de dicho órgano judicial de 7 de noviembre de 2001 limita el objeto de esta cuestión de inconstitucionalidad a la nueva redacción que el citado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 planteamiento sustancialmente idéntico al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Pr="00C21FFE" w:rsidR="00AD51A7" w:rsidRDefault="008777C4">
      <w:pPr>
        <w:rPr/>
      </w:pPr>
      <w:r w:rsidRPr="&lt;w:rPr xmlns:w=&quot;http://schemas.openxmlformats.org/wordprocessingml/2006/main&quot;&gt;&lt;w:lang w:val=&quot;es-ES_tradnl&quot; /&gt;&lt;/w:rPr&gt;">
        <w:rPr/>
        <w:t xml:space="preserve">Hay que concluir, pues, que ha desaparecido sobrevenidamente el objeto de este proceso constitucional.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14/1996, de 17 de enero, FJ Único y 108/2001, de 8 de mayo, FJ Único).</w:t>
      </w:r>
    </w:p>
    <w:p w:rsidRPr="00C21FFE" w:rsidR="00AD51A7" w:rsidRDefault="008777C4">
      <w:pPr>
        <w:rPr/>
      </w:pPr>
      <w:r w:rsidRPr="&lt;w:rPr xmlns:w=&quot;http://schemas.openxmlformats.org/wordprocessingml/2006/main&quot;&gt;&lt;w:lang w:val=&quot;es-ES_tradnl&quot; /&gt;&lt;/w:rPr&gt;">
        <w:rPr/>
        <w:t xml:space="preserve">El art. 37.1 LOTC permite a este Tribunal "rechazar, en trámite de admisión, mediante auto y sin otra audiencia que la del Fiscal General del Estado, la cuestión de inconstitucionalidad cuando faltaren las condiciones procesales o fuere notoriamente infundada la cuestión suscitada". Como ya hemos tenido ocasión de declarar, dicha norma permite inadmitir en este estadio procesal las cuestiones de inconstitucionalidad carentes de objeto (ATC 25/1997, de 28 de enero, FJ Único), pues ya no existe en el ordenamiento, como consecuencia de la declaración parcial de inconstitucionalidad contenida en el fallo de la STC 54/2002, la norma cuestionada aplicable al caso y de cuya validez dependía el fallo del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las situaciones jurídicas que están en el origen del planteamiento de esta cuestión de inconstitucionalidad, habrá que estar a lo declarado en el fundamento jurídico 9 de la citada STC 54/2002.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6490-2001,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