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201</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febrero de 2002 fue registrado en este Tribunal escrito de fec2002, remitido por el Juzgado de lo Contencioso Administrativo núm. 1 de San Sebastián, al que se adjuntaba, entre otros testimonios, el del Auto del mismo órgano judicial, de 25 de enero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la liquidación practicada por el Ayuntamiento de San Sebastián, el 22 de marzo de 2000, por un importe de 3.879.296 pesetas en concepto de cesión del 10 por 100 del aprovechamiento urbanístico derivada de la construcción de dos viviendas en la calle Caserío Parada, núm. 11, de San Sebastián. Tramitado el recurso contencioso administrativo y antes de dictar sentencia, por providencia de 7 de enero de 2002, el Juzgado acordó, de conformidad con lo dispuesto en el art. 35.2 LOTC, requerir a las partes y al Ministerio Fiscal para que formularan las alegaciones que tuvieran por convenientes sobre la pertinencia de plantear cuestión de inconstitucionalidad respecto del artículo único, apartado 1, párrafo primero, de la Ley del Parlamento Vasco 11/1998, por su posible contradicción con 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del Juzgado de lo Contencioso Administrativo por el que se decide plantear la cuestión de inconstitucionalidad, tras la exposición sintética de la doctrina constitucional relativa a la competencia estatal para regular las condiciones básicas que garanticen la igualdad en el ejercicio del derecho de propiedad (art. 149.1.1 CE) y la autonómica sobre urbanismo contenida en las SSTC 61/1997, de 20 de marzo, y 164/2001, de 11 de julio, se argumenta que el artículo único de la Ley vasca 11/1998, aplicable al caso y de cuya validez depende el fallo que debe dictarse, no puede interpretarse como un desarrollo o complemento de lo regulado en el art. 14 de la Ley estatal 6/1998, de 13 de abril, sobre Régimen del Suelo y Valoraciones (LRSV) -dictado en ejercicio de la competencia que el art. 149.1.1 CE atribuye al Estado-, sino como una quiebra de la distinción establecida en ese precepto estatal entre los propietarios de suelo urbano con urbanización consolidada (que no tienen el deber de ceder) y de suelo urbano no consolidado por la urbanización (sobre los que sí recae el deber de cesión). En la medida en que el precepto legal autonómico no respeta la condición básica regulada en el precepto estatal, pues establece el mismo deber de cesión de aprovechamiento para todos los propietarios del suelo urbano, considera el órgano judicial que existe base suficiente para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2002 la Sección Segunda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 Administrativo núm. 1 de San Sebastián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25 de enero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10 por 100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Una argumentación sustancialmente idéntica a la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840-2002,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