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febrero de 2002 fue registrado en este Tribunal escrito de fde 2002, remitido por el Juzgado de lo Contencioso Administrativo núm. 1 de San Sebastián, al que se adjuntaba, entre otros testimonios, el del Auto del mismo órgano judicial, de 1 de febrero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El citado Auto limita el objeto de esta cuestión de inconstitucionalidad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la Resolución del Alcalde de San Sebastián, de 15 de diciembre de 2000, por la que se concedió licencia para la realización de proyecto de ejecución de estructura y cerramiento perimetral en patio de manzana en la calle Elcano, núm. 6, de San Sebastián, condicionada al pago de 3.358.720 pesetas en concepto de cesión del 10 por 100 del aprovechamiento urbanístico. Tramitado el recurso contencioso administrativo y antes de dictar sentencia, por Autos de 26 de noviembre de 2001 y de 17 de enero de 2002, el Juzgado acordó, de conformidad con lo dispuesto en el art. 35.2 LOTC, requerir a las partes y al Ministerio Fiscal para que formularan las alegaciones que tuvieran por convenientes sobre la pertinencia de plantear cuestión de inconstitucionalidad respecto del artículo único, apartado 1, párrafo primero, de la Ley del Parlamento Vasco 11/1998, por su posible contradicción con 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del Juzgado de lo Contencioso Administrativo por el que se decide plantear la cuestión de inconstitucionalidad, tras la exposición sintética de la doctrina constitucional relativa a la competencia estatal para regular las condiciones básicas que garanticen la igualdad en el ejercicio del derecho de propiedad (art. 149.1.1 CE) y la autonómica sobre urbanismo contenida en las SSTC 61/1997, de 20 de marzo, y 164/2001, de 11 de julio, se argumenta que el artículo único de la Ley vasca 11/1998, aplicable al caso y de cuya validez depende el fallo que debe dictarse, no puede interpretarse como un desarrollo o complemento de lo regulado en el art. 14 de la Ley estatal 6/1998, de 13 de abril, sobre Régimen del Suelo y Valoraciones (LRSV) -dictado en ejercicio de la competencia que el art. 149.1.1 CE atribuye al Estado-, sino como una quiebra de la distinción establecida en ese precepto estatal entre los propietarios de suelo urbano con urbanización consolidada (que no tienen el deber de ceder) y de suelo urbano no consolidado por la urbanización (sobre los que sí recae el deber de cesión). En la medida en que el precepto legal autonómico no respeta la condición básica regulada en el precepto estatal, pues establece el mismo deber de cesión de aprovechamiento para todos los propietarios del suelo urbano, considera el órgano judicial que existe base suficiente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Cuarta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 Administrativo núm. 1 de San Sebastián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 de febrero de 2002 limita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14/1996, de 17 de enero, FJ Único y 108/2001, de 8 de mayo,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situaciones jurídicas que están en el origen del planteamiento de esta cuestión de inconstitucionalidad, habrá que estar a lo declarado en el fundamento jurídico 9 de la citada STC 54/2002.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956-2002,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