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marzo de 2002 fue registrado en este Tribunal escrito de fech2002, remitido por el Juzgado de lo Contencioso Administrativo núm. 1 de San Sebastián, al que se adjuntaba, entre otros testimonios, el del Auto del mismo órgano judicial, de 12 de febrero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Por Acuerdo de la Comisión de Gobierno del Ayuntamiento de Hernani, de 26 de enero de 2000, se otorgó a "Oraune Promociones, S.L." licencia para la realización de obras en el solar núm. 27-29 de la Calle Nagusia de dicho Municipio. La eficacia de la licencia se condicionaba a la presentación de justificante de pago del valor correspondiente a la cesión del 10 por 100 del aprovechamiento urbanístico atribuido al solar, libre de cargas de urbanización. Contra el mencionado Acuerdo interpuso dicha sociedad mercantil recurso de reposición, que fue desestimado por Acuerdo de la Comisión de Gobierno del citado Ayuntamiento, de 29 de marzo de 2000. "Oraune Promociones, S.L." interpuso, a continuación, recurso contencioso administrativo ante el Juzgado de lo Contencioso Administrativo competente de San Sebastián. En la demanda solicitaba, en síntesis, que se anulara la imposición de la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w:t>
      </w:r>
    </w:p>
    <w:p w:rsidRPr="00C21FFE" w:rsidR="00AD51A7" w:rsidRDefault="008777C4">
      <w:pPr>
        <w:rPr/>
      </w:pPr>
      <w:r w:rsidRPr="&lt;w:rPr xmlns:w=&quot;http://schemas.openxmlformats.org/wordprocessingml/2006/main&quot;&gt;&lt;w:lang w:val=&quot;es-ES_tradnl&quot; /&gt;&lt;/w:rPr&gt;">
        <w:rPr/>
        <w:t xml:space="preserve">b) Tramitado el recurso contencioso administrativo y antes de dictar sentencia, por providencia de 8 de febrero de 2001, el Juzgado de lo Contencioso Administrativo acordó someter a la consideración de las partes la conveniencia de suspender el curso del procedimiento hasta que el Tribunal Constitucional dictara sentencia en el recurso de inconstitucionalidad núm. 3550/1998, por entender que existía indudable conexión entre este pronunciamiento y la cuestión que es objeto del recurso contencioso administrativo. No obstante, por providencia de 18 de enero de 2002, el Juzgado acordó, de conformidad con lo dispuesto en el art. 35.2 LOTC, requerir a las partes y al Ministerio Fiscal para que formularan las alegaciones que tuvieran por convenientes sobre la pertinencia de plantear cuestión de inconstitucionalidad respecto del artículo único, apartado 1, párrafo primero, de la Ley del Parlamento Vasco 11/1998, por su posible contradicción con el art. 149.1.1 CE. Tanto el Fiscal como la parte recurrente estimaron procedente el planteamiento de la cuestión. El Ayuntamiento de Hernani no formuló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no puede interpretarse como un desarrollo o complemento de lo regulado en el art. 14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6 de junio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11 de febrero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1353-2002,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