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abril de 2001, el Procurador de los Tribunales don Antonio Albadalejo Martínez, en nombre y representación de don Juan Alberto Perote Pellón, interpuso recurso de amparo contra la Sentencia de la Sala de lo Supremo de 22 de marzo de 2001 y contra la Sentencia de la Sección Decimoquinta de la Audiencia Provincial de Madrid de 26 de mayo de 2001 que le condenó, como autor de un delito continuado de interceptación de las comunicaciones telefónicas del antiguo art. 192 bis del CP (texto refundido 1973) en su versión introducida por la Ley Orgánica 7/1984 en relación con el art. 69 bis del mismo CP, a las penas de seis meses de arresto mayor, accesoria de privación del derecho de sufragio durante la condena, ocho años de inhabilitación absoluta, al pago de las costas procesales y a indemnizar solidariamente con los otros condenados en un millón de ptas. a cada uno de los tres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al juez imparcial (art. 24.2 CE), del derecho al proceso con todas las garantías (art. 24.2 CE) en relación con el derecho a la tutela judicial efectiva sin indefensión (art. 24.1 CE), a las pruebas pertinentes para la defensa (art. 24.2 CE) a la presunción de inocencia (art. 24.2 CE) y a la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septiembre de 2002 la Sección Primera acordó admitir a trámite la demanda de amparo y abrir pieza separada de suspensión. En providencia de idéntica fecha, la Sección acordó, a tenor de lo previsto en el art. 56 LOTC, conceder plazo común de tres días, al Ministerio Fiscal, al solicitante de amparo y al Abogado del Estado,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4 de octubre de 2002, la representación del recurrente en trámite de alegaciones reiteró la petición de suspensión y sus fundamentos. Reitera su petición de suspensión "en el particular relativo a la condena ... a la pena de seis meses de arresto mayor", razonando que si con posterioridad se otorgase el amparo, se produciría un perjuicio irreparable no susceptible de restablecimiento ni siquiera por la vía de la responsabilidad económica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7 de octubre de 2002, el Ministerio Fiscal, interesó se acordase la suspensión de la ejecución de la Sentencia en lo relativo a la pena privativa de libertad impuesta, que es a la que específicamente se refiere el demandante en su fundamentación de la petición. Sostiene el Fiscal que, tratándose de penas cortas el criterio general de este Tribunal es su suspensión ya que la entrada en prisión produce un perjuicio irreparable si en su día se otorgara el amparo. </w:t>
      </w:r>
    </w:p>
    <w:p w:rsidRPr="00C21FFE" w:rsidR="00AD51A7" w:rsidRDefault="008777C4">
      <w:pPr>
        <w:rPr/>
      </w:pPr>
      <w:r w:rsidRPr="&lt;w:rPr xmlns:w=&quot;http://schemas.openxmlformats.org/wordprocessingml/2006/main&quot;&gt;&lt;w:lang w:val=&quot;es-ES_tradnl&quot; /&gt;&lt;/w:rPr&gt;">
        <w:rPr/>
        <w:t xml:space="preserve">Y ello es lo que sucedería en el caso, dado que el recurrente fue condenado a seis meses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no formuló alegaciones sobre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el recurrente solicita que se suspenda la ejecución de la Sentencia, -en virtud de la cual, y como consta en los antecedentes, resultó condenado a una pena privativa de libertad de cuatro meses y un día, a la accesoria de privación del derecho de sufragio, a ocho años y un día de inhabilitación absoluta, a pagar las costas y a indemnizar solidariamente con los otros condenados en un millón de ptas. a cada uno de los tres perjudicados-, sólo "en el particular relativo a la condena ... a la pena de seis meses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Pr="00C21FFE" w:rsidR="00AD51A7" w:rsidRDefault="008777C4">
      <w:pPr>
        <w:rPr/>
      </w:pPr>
      <w:r w:rsidRPr="&lt;w:rPr xmlns:w=&quot;http://schemas.openxmlformats.org/wordprocessingml/2006/main&quot;&gt;&lt;w:lang w:val=&quot;es-ES_tradnl&quot; /&gt;&lt;/w:rPr&gt;">
        <w:rPr/>
        <w:t xml:space="preserve">En aplicación de la anterior razón de decidir al caso se ha acceder a la suspensión de las resoluciones penales en lo relativo a la pena privativa de libertad, único extremo al que se refiere el demandante, pues los perjuicios que su ejecución conlleva no sólo serían irreparables y, en caso de estimarse la demanda, el amparo perdería su finalidad, sino que, en atención a su escasa duración, no es de temer perturbación grave de los intereses generales.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Sentencia de la Sala de lo Penal del Tribunal Supremo de 22 de marzo de 2001 y la Sentencia de la Sección Decimoquinta de la Audiencia Provincial de Madrid de 26 de mayo de 1999 exclusivamente en lo relativo a la pena privativa de libertad</w:t>
      </w:r>
    </w:p>
    <w:p w:rsidRPr="" w:rsidR="00AD51A7" w:rsidRDefault="008777C4">
      <w:pPr>
        <w:rPr/>
      </w:pPr>
      <w:r w:rsidRPr="&lt;w:rPr xmlns:w=&quot;http://schemas.openxmlformats.org/wordprocessingml/2006/main&quot;&gt;&lt;w:szCs w:val=&quot;24&quot; /&gt;&lt;/w:rPr&gt;">
        <w:rPr/>
        <w:t xml:space="preserve">impuesta a don Juan Alberto Perote Pellón de seis meses de arresto mayor.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