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 de agosto de 2001 en este Tribunal, la Procuradora doña Adela Gilsanz Madroño, obrando en nombre y representación del Sindicato Profesional de la Administración de Justicia y de la Unión Sindical Obrera (SPJ y USO en adelante, respectivamente), formuló recurso de amparo contra la Sentencia de la Sección Segunda de la Sala de lo Contencioso-Administrativo del Tribunal Superior de Justicia de Andalucía de 11 de julio de 2001, recaída en apelación contra la dictada por el Juzgado de lo Contencioso-Administrativo 5 de Sevilla el 31 de octubre de 2000, en procedimiento especial de derechos fundamentales. A través del oportuno otrosí se solicitaba la suspensión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acordó a través de providencia de 26 de septiembre de 2002 admitir a trámite esta demanda de amparo, y formar, a partir de una fotocopia de la demanda de amparo interpuesta, la oportuna pieza para la tramitación del incidente sobre suspensión, confiriendo un plazo de tres días para que la parte recurrente y el Ministerio Fiscal se pronuncien sobre la pertinencia de dicha suspensión. </w:t>
      </w:r>
    </w:p>
    <w:p w:rsidRPr="00C21FFE" w:rsidR="00AD51A7" w:rsidRDefault="008777C4">
      <w:pPr>
        <w:rPr/>
      </w:pPr>
      <w:r w:rsidRPr="&lt;w:rPr xmlns:w=&quot;http://schemas.openxmlformats.org/wordprocessingml/2006/main&quot;&gt;&lt;w:lang w:val=&quot;es-ES_tradnl&quot; /&gt;&lt;/w:rPr&gt;">
        <w:rPr/>
        <w:t xml:space="preserve">El Fiscal, en escrito registrado en esta sede el 4 de octubre de 2002, considera que no procede la suspensión en su día solicitada, ya que actuar en sentido contrario supondría, de una parte, la imposición de una obligación positiva a la Administración y, de otra, su contenido vendría a coincidir plenamente con un fallo estimatorio del recurso de amparo, por lo que supondría su anticipación, que no es una de las finalidades previstas en el art. 56 LOTC (vide, mutatis mutandis, AATC 811/1985, 144/1990, de 29 de marzo, FJ 1, 8/1994, de 17 de enero, FJ 2, 58/1997, de 26 de febrero).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solicitaron en su día la suspensión de la resolución impugnada, porque la misma produce un daño irreparable, con lo que se desvirtúa el contenido mismo del recurso de amparo, y dado que la misma no afectaría ni a los intereses generales ni a los legítimos intereses de un tercero. La ejecución de las resoluciones impugnadas privaría al recurso de su finalidad. El Ministerio Fiscal se opone, por su parte, a que este Tribunal acuerde la suspensión solicitada, porque con la misma se impondría una obligación positiva a la Administración y se anticiparía la resolución que deba darse al recurso de amparo admitido a trámite.</w:t>
      </w:r>
    </w:p>
    <w:p w:rsidRPr="00C21FFE" w:rsidR="00AD51A7" w:rsidRDefault="008777C4">
      <w:pPr>
        <w:rPr/>
      </w:pPr>
      <w:r w:rsidRPr="&lt;w:rPr xmlns:w=&quot;http://schemas.openxmlformats.org/wordprocessingml/2006/main&quot;&gt;&lt;w:lang w:val=&quot;es-ES_tradnl&quot; /&gt;&lt;/w:rPr&gt;">
        <w:rPr/>
        <w:t xml:space="preserve">Diversos factores fundamentan la denegación de la suspensión solicitada en su día.  Debemos recordar así, en primer lugar, nuestra reiterada doctrina, en la que hemos señalado que concurre un interés público objetivo en el mantenimiento de los fallos de las resoluciones judiciales (ATC 493/1989, de 16 de octubre, FJ 3). En segundo lugar, es preciso advertir que acordar tal suspensión conllevaría, como ha señalado el Ministerio Fiscal, imponer una actuación positiva por parte de la Administración y, lo que es más grave, supondría "la inadecuada anticipación de un pronunciamiento estimatorio en cuanto al fondo en el presente recurso de amparo, ajeno por completo al objeto del incidente ahora sustanciado" (ATC 51/1999, de 8 de marzo, FJ 7). A estas consideraciones, que justifican por sí solas la denegación de la suspensión solicitada, hemos de añadir, en tercer y último lugar, que, conforme a nuestra consolidada doctrina, "habrá de acordarse la no suspensión de la ejecución salvo que el demandante acredite suficientemente la irreparabilidad que para sus derechos fundamentales pudiera tener la ejecución del fallo, privando al amparo de su finalidad (AATC 51/1989, 136/1996 y 310/1996)" (ATC 173/1999, de 28 de junio, FJ 1). Desde esta perspectiva debe destacarse que el recurrente no ha hecho alegación alguna, ni en el trámite conferido al amparo del art. 50.3 LOTC, ni, lo que es más importante en este momento, en el acordado en relación expresa con la suspensión (art.  56.2 LOTC), habiéndose limitado en la demanda de amparo a invocar la existencia de un daño irreparable provocado por el acto administrativo y la resolución judicial impugnados, sin explicitar ni su naturaleza ni su alcance.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