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26 de abril de 2002, el Procurador de los Tribunales don Ramón Rodríguez Nogueira, en nombre y representación de don Alfredo Ortega Bonilla, interpuso recurso de amparo contra la Sentencia de 27 de marzo de 2002 de la Sección Novena de la Audiencia Provincial de Valencia, que confirmó en apelación la dictada por el Juzgado de Primera Instancia núm. 12 de Valencia, con fecha 4 de octubre de 2001, por la que se condenó al aquí recurrente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recurrente, Secretario de la Administración Local con Habilitación de carácter nacional, fue demandado ante los Juzgados de la Jurisdicción civil por el Colegio de Secretarios, Interventores y Tesoreros de la Administración local con habilitación de carácter nacional de la Provincia de Valencia, en reclamación de cantidad (182.500 pesetas) en concepto de cuotas colegiales. El hoy recurrente se opuso a la demanda alegando, entre otros motivos, la inconstitucionalidad de la colegiación obligatoria por atentar contra los arts. 22 y 14 CE. Por Sentencia del Juzgado de Primera Instancia núm. 12 de Valencia, de 4 de octubre de 2001, fue condenado al pago de dicha cantidad. </w:t>
      </w:r>
    </w:p>
    <w:p w:rsidRPr="00C21FFE" w:rsidR="00AD51A7" w:rsidRDefault="008777C4">
      <w:pPr>
        <w:rPr/>
      </w:pPr>
      <w:r w:rsidRPr="&lt;w:rPr xmlns:w=&quot;http://schemas.openxmlformats.org/wordprocessingml/2006/main&quot;&gt;&lt;w:lang w:val=&quot;es-ES_tradnl&quot; /&gt;&lt;/w:rPr&gt;">
        <w:rPr/>
        <w:t xml:space="preserve">b) Frente a la anterior resolución se interpuso recurso de apelación por parte del condenado, alegando la inconstitucionalidad de la colegiación obligatoria, el cual fue desestimado por Sentencia de 27 de marzo de 2002 de la Audiencia Provincial de Valencia. En la misma se declara que la posible inconstitucionalidad de la colegiación obligatoria es una cuestión que deviene ajena a lo que es el núcleo de la pretensión, y no consta que el recurrente la haya planteado con anterioridad al procedimiento de reclamación, añadiendo sin embargo que la jurisprudencia constitucional ha declarado que tal exigencia de colegiación no es contraria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el escrito de demanda que la Sentencia de la Audiencia Provincial de Valencia vulnera el derecho de asociación (art. 22 CE) en su vertiente negativa, de acuerdo con la jurisprudencia constitucional. La resolución no estima contraria a la Constitución la obligación de colegiarse en un colegio profesional integrado exclusivamente por funcionarios públicos, razón por la cual no está constitucionalmente justificada la exigencia de colegiación obligatoria. Se alega asimismo vulneración del derecho a la igualdad (art. 14 CE) ya que a pesar de tener los Secretarios, Interventores y Tesoreros de la Administración local una habilitación de carácter nacional, algunas Leyes autonómicas, como las de Aragón o Canarias, no establecen su obligatoriedad de colegiación.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sendas providencias de 27 de febrero de 2003, la Sala Primera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7 de marzo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para el mismo perturbación grave a los intereses generales o de terceros que pueda prevalecer sobre el perjuicio irreparable a sus derechos fundamentales que implicaría el pago de las cuotas colegiales. Alega en apoyo de sus argumentaciones Sentencias de 31 de enero de 2002 de la Sala de lo Contencioso- Administrativo del Tribunal Superior de Justicia de la Comunidad Valenciana y de 23 de octubre de 2001 y 7 de mayo de 2002 de las Secciones Cuarta y Sexta de la Audiencia Provincial de Valencia, respectivamente, en las que se reconoce la falta de obligatoriedad de la colegiación de los Secretarios, Interventores y Tesoreros de Administración local con habilitación de carácter nacional. Suplica por ello al Tribunal Constitucional que acuerde la suspensión de los efectos ejecutivos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24 de marzo de 2003, la representación procesal del Ilustre Colegio de Secretarios, Interventores y Tesoreros de Administración local con habilitación de carácter nacional, personado en este proceso de amparo, presentó su escrito de alegaciones oponiéndose a la suspensión del la ejecución de la Sentencia por entender que su ejecución no haría perder al recurso su finalidad, ni supondría un daño de imposible reparación pues en caso de estimarse el amparo se podría proceder a la devolución de lo retenido. Por el contrario, la suspensión solicitada por el demandante de amparo podría suponer la vulneración del derecho a la igualdad (art. 14 CE) respecto de aquellos colegiados que vienen pagando puntualmente las cuotas al Colegio.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11 de marzo de 2003 presentó su escrito de alegaciones el Ministerio Fiscal. En él manifiesta que el recurrente pretende aplazar el cumplimiento de una obligación a cuyo pago se le condena, el cual por ser de naturaleza pecuniaria admite perfectamente su restitución. De ahí que aplicando la doctrina constitucional al caso, éste deba resolverse sacrificando el interés del recurrente por ser perfectamente reparable si se concediese el amparo. Por todo ello, el Fiscal interesa que se deniegue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podría conllevar el derecho del hoy demandante a que no le sean cobradas las cuotas que reclama el Colegio de Secretarios, Interventores y Tesoreros de Administración local de habilitación nacional de la provincia de Valencia. Lo que se pretende con la suspensión que solicita el recurrente de la ejecución de la Sentencia que lo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colocándonos por encima del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al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