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13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julio de 2002, el Procurador de los Tribunales don Ramón Rodríguez Nogueira, en nombre y representación de don José Vicente Muñoz Ramón, presentó en el Registro General de este Tribunal demanda de amparo contra la Sentencia de 25 de junio de 2002 de la Sección Novena de la Audiencia Provincial de Valencia, que desestima el recurso de apelación núm. 426-2002 interpuesto contra la Sentencia del Juzgado de Primera Instancia núm. 1 de Alzira de 19 de septiembre de 2001, dictada en autos de juicio de cognición núm. 141-2001.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Muñoz Ramón, Secretario de administración local con habilitación de carácter nacional, en reclamación de 157.000 pesetas, (901,52 euros), en concepto de cuotas colegiales no abonadas correspondientes al período 1996-2000. </w:t>
      </w:r>
    </w:p>
    <w:p w:rsidRPr="00C21FFE" w:rsidR="00AD51A7" w:rsidRDefault="008777C4">
      <w:pPr>
        <w:rPr/>
      </w:pPr>
      <w:r w:rsidRPr="&lt;w:rPr xmlns:w=&quot;http://schemas.openxmlformats.org/wordprocessingml/2006/main&quot;&gt;&lt;w:lang w:val=&quot;es-ES_tradnl&quot; /&gt;&lt;/w:rPr&gt;">
        <w:rPr/>
        <w:t xml:space="preserve">b) El Juzgado de Primera Instancia núm. 1 de Alzira dictó, el 19 de septiembre de 2001, Sentencia por la que se desestimaba la demanda sin entrar en el fondo del asunto, al acoger la cuestión prejudicial planteada por el demandado relativa a que tenía interpuesto recurso contencioso-administrativo contra la resolución de adaptación de los Estatutos del referido Colegio a la Ley de colegios profesionales de la comunidad valenciana, donde se alegaba la inconstitucionalidad de la colegiación obligatoria que sirve de fundamento a la exigencia de las cuotas colegiales.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25 de junio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Sentencia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considera que la sentencia de la Audiencia vulnera el derecho a la igualdad y a la no discriminación (art. 14 CE), porque la exigencia de colegiación obligatoria no es de aplicación en otros lugares del territorio español, como en Aragón, en Canarias o en Galicia, cuya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 </w:t>
      </w:r>
    </w:p>
    <w:p w:rsidRPr="00C21FFE" w:rsidR="00AD51A7" w:rsidRDefault="008777C4">
      <w:pPr>
        <w:rPr/>
      </w:pPr>
      <w:r w:rsidRPr="&lt;w:rPr xmlns:w=&quot;http://schemas.openxmlformats.org/wordprocessingml/2006/main&quot;&gt;&lt;w:lang w:val=&quot;es-ES_tradnl&quot; /&gt;&lt;/w:rPr&gt;">
        <w:rPr/>
        <w:t xml:space="preserve">Mediante otrosí el recurrente solicitó la suspensión de los efectos ejecutivos de la Sentencia de la Audiencia Provincial de Valencia impugnada,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 los derechos a la libertad de asociarse en su vertiente negativa y a no sufrir discriminación, si es obligado a pagar las cuotas esto significaría que será constreñido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10 de abril de 2003, la Sección Primera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mayo de 2003 se registró en este Tribunal el escrito de alegaciones del demandante de amparo, en el que se reitera su solicitud de suspensión de conformidad con el art. 56 LOTC. En dicho escrito se indica que la pretensión deducida en la demanda de amparo es idéntica a la formulada por otros recurrentes, también Secretarios de Ayuntamiento, en los recursos de amparo núm. 5950-2001 y núm. 4424-2001, estimados por SSTC 76/2003, de 23 de abril y 96/2003, de 22 de mayo, que declaran que la colegiación obligatoria de los funcionarios locales de habilitación nacional vulnera efectivamente la libertad de asociación en su vertiente negativa. En consecuencia, la previsible estimación del presente recurso de amparo, fundado en los mismos argumentos y con la misma causa de pedir que los ya estimados por las SSTC 76/2003 y 96/2003, debe determinar la suspensión de la sentencia impugnada, cuya ejecución mediante el pago de la cantidad dineraria implicaría que el recurrente hubiese de solicitar su devolución una vez que el Tribunal Constitucional dictase sentencia estimatoria del recurso de amparo, con los perjuicios que ello comporta y la contrariedad que este hecho supone con el principio de economía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mediante escrito presentado el 2 de junio de 2003, en el que interesa que se deniegue la suspensión solicitada. Advierte el Fiscal que en el presente caso estamos ante un supuesto en el que el demandante pretende el aplazamiento del cumplimiento de la obligación de pago a la que fue condenado hasta que se resuelva el presente recurso de amparo. Por ello considera aplicable la consolidada doctrina de este Tribunal de no admitir la suspensión de las resoluciones que permiten la restitución íntegra de lo ejecutado, como sucede con los pronunciamientos de efectos exclusivamente patrimoniales.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En el segundo apartado de este mismo precepto se prevé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Queda a salvo el supuesto expresamente previsto en la LOTC, y siempre que la suspensión no produzca las perturbaciones aludidas en el art. 56.1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sobre la petición de suspensión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como advierte el Ministerio Fiscal en sus alegaciones,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como venimos declarando para supuestos idénticos al presente (AATC 147/2002, 168/2002, 170/2002, 110/2003, 163/2003 y 165/2003).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