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22 de noviembre de 2002, en autos número 776-2002, sobre despido por el Juzgado de lo Social núm. 2 de Badajoz planteó cuestión de inconstitucionalidad en relación con art. 2.3 del Real Decreto Ley 5/2002, de 24 de mayo, de "Medidas urgentes para la reforma del sistema de protección por desempleo y mejora de la ocupabilidad", por posible vulneración de los art. 14, 24 y 35.1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marzo de 2003 la Sección Segunda de este Tribunal acordó admitir a trámite la cuestión de inconstitucionalidad planteada por la Sala (registrada con el núm. 6957-2002)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24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procede a remitirse a las alegaciones efectuadas en la referida cuestión por medio de su escrito de fecha 7 de noviembre de 2002, dándolas por reproducidas e interesando la acumulación de la presente cuestión a la seguida con el núm. 4814-2002. El siguiente día 24 de abril de 2003 tuvo entrada el escrito remitido por el Congreso de los Diputados comunicando la decisión adoptada por la Mesa de la Cámara de no personarse en el procedimiento ni formular alegaciones, pero pone a disposición del Tribunal las actuaciones de la Cámara que pueda precisar, y remite a la Dirección de Estudios y Documentación de la Secretaría General. Finalmente, mediante escrito de 29 de abril de 2003, el Fiscal General del Estado presentó sus alegaciones interesando la 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17 de enero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mediante escrito de fecha 28 de julio ultimo,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agosto de 2003, el Juzgado de lo Social núm. 2 de Badajoz participó al Tribunal que la Sentencia de dicho Juzgado dictada en el procedimiento de despido del que dimana la presente cuestión es firme a fecha 31 de julio de 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establece el art. 163 de la Constitución, y recuerda por su parte el art. 35.1 LOTC, el planteamiento de la cuestión de constitucionalidad por los Jueces y Tribunales exige que la norma cuestionada sea "aplicable al caso" y que de "su</w:t>
      </w:r>
    </w:p>
    <w:p w:rsidRPr="00C21FFE" w:rsidR="00AD51A7" w:rsidRDefault="008777C4">
      <w:pPr>
        <w:rPr/>
      </w:pPr>
      <w:r w:rsidRPr="&lt;w:rPr xmlns:w=&quot;http://schemas.openxmlformats.org/wordprocessingml/2006/main&quot;&gt;&lt;w:lang w:val=&quot;es-ES_tradnl&quot; /&gt;&lt;/w:rPr&gt;">
        <w:rPr/>
        <w:t xml:space="preserve">validez dependa el fallo" a dictar. Aunque conocidamente el cumplimiento de estos requisitos debe justificarse en el momento en que la cuestión se plantea, no hay duda que las circunstancias sobrevenidas en ese llamado "juicio de relevancia" forzosamente</w:t>
      </w:r>
    </w:p>
    <w:p w:rsidRPr="00C21FFE" w:rsidR="00AD51A7" w:rsidRDefault="008777C4">
      <w:pPr>
        <w:rPr/>
      </w:pPr>
      <w:r w:rsidRPr="&lt;w:rPr xmlns:w=&quot;http://schemas.openxmlformats.org/wordprocessingml/2006/main&quot;&gt;&lt;w:lang w:val=&quot;es-ES_tradnl&quot; /&gt;&lt;/w:rPr&gt;">
        <w:rPr/>
        <w:t xml:space="preserve">han de repercutir también en la suerte de la cuestión planteada, vista la estrecha relación que media entre la constitucionalidad de la norma cuestionada y su aplicación en el proceso a quo.</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se sustentaba, en que en virtud del cambio normativo habido, en la actualidad dejado sin efecto, en los supuestos de opción por la extinción no se abonaban los denominados salarios de tramitación y si en los supuestos de readmisión. Por todo ello, que en el presente caso, tras haberse dictado el Auto de fecha 22 de noviembre de 2002 por el Juzgado de lo Social núm. 2 de Badajoz, que declaraba la improcedencia del despido, la empresa según consta en los antecedentes de hecho de la sentencia de 17 de enero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Pr="00C21FFE" w:rsidR="00AD51A7" w:rsidRDefault="008777C4">
      <w:pPr>
        <w:rPr/>
      </w:pPr>
      <w:r w:rsidRPr="&lt;w:rPr xmlns:w=&quot;http://schemas.openxmlformats.org/wordprocessingml/2006/main&quot;&gt;&lt;w:lang w:val=&quot;es-ES_tradnl&quot; /&gt;&lt;/w:rPr&gt;">
        <w:rPr/>
        <w:t xml:space="preserve">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como ha quedado expuesto, ya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6957-2002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