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30 de enero de 2003, en autos número 787-2002,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 14, 24 y 35.1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2003, la Sección Segunda de este Tribunal acordó admitir a trámite la cuestión de inconstitucionalidad planteada por la Sala (registrada con el núm. 803-2003)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22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procede a remitirse a las alegaciones efectuadas en la referida cuestión por medio de su escrito de fecha 7 de noviembre de 2002, dándolas por reproducidas e interesando la acumulación de la presente cuestión a la seguida con el núm. 4814-2002. El siguiente día 25 de abril de 2003, tuvo entrada el escrito remitido 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12 de marzo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agosto de 2003, el Juzgado de lo Social núm. 2 de Badajoz participó al Tribunal que la Sentencia de dicho Juzgado dictada en el procedimiento de despido del que dimana la presente cuestión es firme a fecha 31 de julio de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30 de enero de 2003 por el Juzgado de lo Social núm. 2 de Badajoz, que declaraba la improcedencia del despido, la empresa, según consta en los antecedentes de hecho de la sentencia de 12 de marzo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Pr="00C21FFE" w:rsidR="00AD51A7" w:rsidRDefault="008777C4">
      <w:pPr>
        <w:rPr/>
      </w:pPr>
      <w:r w:rsidRPr="&lt;w:rPr xmlns:w=&quot;http://schemas.openxmlformats.org/wordprocessingml/2006/main&quot;&gt;&lt;w:lang w:val=&quot;es-ES_tradnl&quot; /&gt;&lt;/w:rPr&gt;">
        <w:rPr/>
        <w:t xml:space="preserve">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803-2003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