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7 de febrero de 2003, en autos número 996-2002,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 14, 24 y 35.1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2003, la Sección Segunda de este Tribunal acordó admitir a trámite la cuestión de inconstitucionalidad planteada por la Sala (registrada con el núm. 884-2003)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22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25 de abril de 2003, tuvo entrada el escrito remitido 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febrero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7 de febrero de 2003 por el Juzgado de lo Social núm. 2 de Badajoz, que declaraba la improcedencia del despido, la empresa, según consta en los antecedentes de hecho de la sentencia de 26 de febrero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Pr="00C21FFE" w:rsidR="00AD51A7" w:rsidRDefault="008777C4">
      <w:pPr>
        <w:rPr/>
      </w:pPr>
      <w:r w:rsidRPr="&lt;w:rPr xmlns:w=&quot;http://schemas.openxmlformats.org/wordprocessingml/2006/main&quot;&gt;&lt;w:lang w:val=&quot;es-ES_tradnl&quot; /&gt;&lt;/w:rPr&gt;">
        <w:rPr/>
        <w:t xml:space="preserve">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884-2003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