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 de marzo de 2001 en el Registro General de este Tribunal, la Asesora Jurídica-Letrada de la Comunidad Foral de Navarra, actuando en representación de esta Administración, interpuso recurso de amparo contra la Sentencia de 1 de febrero de 2001, de la Sala de lo Contencioso-Administrativo del Tribunal Superior de Justicia de Navarra, por la que se estima el recurso contencioso-administrativo formulado frente al Acuerdo del Gobierno de Navarra de 30 de marzo de 1998, desestimatorio, a su vez, del recurso ordinario promovido contra la Orden Foral núm. 1026/1997, de 20 de febrero,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1026/1997, de 20 de febrero, el Consejero de Obras Públicas, Transportes y Comunicaciones impuso a la mercantil "Transportes La Oñatiarra, S.L.",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30 de marzo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al art.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 de febrero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1166-2001.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