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22 de junio de 2001 en el Registro General de este Tribunal, la Asesora Jurídica-Letrada de la Comunidad Foral de Navarra, actuando en representación de esta Administración, interpuso recurso de amparo contra la Sentencia de 22 de mayo de 2001, de la Sala de lo Contencioso- Administrativo del Tribunal Superior de Justicia de Navarra, por la que se estima el recurso contencioso-administrativo formulado frente al Acuerdo del Gobierno de Navarra de 15 de junio de 1998, desestimatorio, a su vez, del recurso ordinario promovido contra la Orden Foral núm. 254/1998, de 26 de enero,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a)Por Orden Foral núm. 254/1998, de 26 de enero, el Consejero de Obras Públicas, Transportes y Comunicaciones impuso a la empresa Industrias Cárnicas J. Soberón Sanz,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15 de junio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empresa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22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3521-2001.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