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abril de 2003 tuvo entrada en el registro de este Tribunal escrito firmado por la Procuradora de los Tribunales doña María del Carmen Olmos Gilsanz, en representación de don Pedro Urrutia Berrio, en virtud del cual se interponía recurso de amparo contra la Sentencia de la Sección Segunda de la Audiencia Provincial de Álava de 28 de junio de 2001, que condenó al demandante de amparo, como autor de un delito de robo con violencia e intimidación en grado de tentativa, y de una falta de maltrato de obra, respectivamente, a las penas de 3 años de prisión, con la accesoria de privación del derecho de sufragio durante el tiempo de la condena, y dos fines de semana de arresto, todo ello con indemnización a la perjudicada doña Margarita Saenz de Villaverde en la suma de 750.202 pesetas por los gastos acreditados y 1.000.000 de pesetas por las secuelas, con imposición de costas. Asimismo el recurso se dirige contra la Sentencia de la Sala Segunda del Tribunal Supremo de 28 de febrero de 2003, que declaró no haber lugar al recurso de casación interpuesto contra la anterior. </w:t>
      </w:r>
    </w:p>
    <w:p w:rsidRPr="00C21FFE" w:rsidR="00AD51A7" w:rsidRDefault="008777C4">
      <w:pPr>
        <w:rPr/>
      </w:pPr>
      <w:r w:rsidRPr="&lt;w:rPr xmlns:w=&quot;http://schemas.openxmlformats.org/wordprocessingml/2006/main&quot;&gt;&lt;w:lang w:val=&quot;es-ES_tradnl&quot; /&gt;&lt;/w:rPr&gt;">
        <w:rPr/>
        <w:t xml:space="preserve">Según la Sentencia condenatoria, el recurrente, actuando de común acuerdo con los demás encausados y con la intención de obtener un enriquecimiento ilícito mediante el robo de tabaco, acudió el día 12 de noviembre de 1998 a un almacén de Tabacalera sito en Vitoria, amenazando al encargado y a los empleados del mismo con las armas que portaban, a los cuales inmovilizaron y amordazaron, golpeando en la cabeza, incluso, a uno de ellos, sin que pudieran consumar su acción al haber accionado la alarma el encargado del almacén, por lo que, ante la sospecha de que iba a presentarse la Policía, abandonaron el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las resoluciones impugnadas vulneran el derecho a la tutela judicial efectiva sin indefensión consagrado en el art. 24.1 CE como consecuencia de la falta de motivación de la pena impuesta. Asimismo, por medio de otrosí, solicita la suspensión de la ejecución de la pena privativa de libertad, alegando que se le produciría un grave perjuicio, ya que, en el caso de prosperar el recurso de amparo, difícilmente se le podría restablecer en su derecho, haciendo perder al amparo su finalidad. En este sentido invoca la doctrina de este Tribunal, especialmente en relación con los casos en que la pena no es de excesiva duración.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recibir las alegaciones del recurrente y del Ministerio Fiscal en el trámite previsto en el art. 50.3 LOTC, la Sala Segunda acordó, en providencia de 18 de marzo de 2004,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 Asimismo se acordó oír a la parte recurrente y al Ministerio Fiscal acerca de la posible acumulación del presente recurso con el seguido ante la misma Sala con el núm. 2040-2003.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María del Carmen Olmos Gilsanz presentó escrito en este Tribunal el 24 de marzo de 2004 ratificándose en las alegaciones que sobre la suspensión de la ejecución de la pena privativa de libertad se realizaron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25 de marzo de 2004, manifiesta su conformidad con la suspensión de la pena privativa de libertad. Tras exponer sucintamente la doctrina de este Tribunal sobre el particular señala que su aplicación al caso obliga a considerar, si se compara la duración de la pena impuesta -tres años- con el tiempo que requiere la tramitación de un proceso como el presente, que no suspender su ejecución ocasionaría un perjuicio irreparable, que dejaría totalmente en entredicho la eficacia de un eventual fallo estimatorio. Por otro lado, y atendidas las demás circunstancias concurrentes en el caso, no aprecia el Ministerio Público que, de acceder a la suspensión solicitada, se ocasione una lesión específica y grave del interés general, más allá de aquélla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convirtiéndolo en meramente ilusorio (AATC 47/1992, 258/1996 y 29/1999), y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Pr="00C21FFE" w:rsidR="00AD51A7" w:rsidRDefault="008777C4">
      <w:pPr>
        <w:rPr/>
      </w:pPr>
      <w:r w:rsidRPr="&lt;w:rPr xmlns:w=&quot;http://schemas.openxmlformats.org/wordprocessingml/2006/main&quot;&gt;&lt;w:lang w:val=&quot;es-ES_tradnl&quot; /&gt;&lt;/w:rPr&gt;">
        <w:rPr/>
        <w:t xml:space="preserve">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Respecto de condenas a penas privativas de menor duración la regla general ha sido su suspensión conforme al criterio genérico de la pérdida de eficacia del amparo - atendida su duración y el previsible transcurso del tiempo hasta su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petición de suspensión, se ha de advertir que la Sentencia de la Audiencia Provincial de Álava de 28 de junio de 2001 condenó al demandante de amparo, como autor de un delito de robo con violencia e intimidación en grado de tentativa, y de una falta de maltrato de obra, respectivamente, a las penas de 3 años de prisión, con la accesoria de privación del derecho de sufragio durante el tiempo de la condena, y dos fines de semana de arresto, todo ello con indemnización a la perjudicada doña Margarita Saenz de Villaverde, junto con los demás condenados, en la suma de 750.202 pesetas por los gastos acreditados y de 1.000.000 de pesetas por las secuelas, e imposición de costas.</w:t>
      </w:r>
    </w:p>
    <w:p w:rsidRPr="00C21FFE" w:rsidR="00AD51A7" w:rsidRDefault="008777C4">
      <w:pPr>
        <w:rPr/>
      </w:pPr>
      <w:r w:rsidRPr="&lt;w:rPr xmlns:w=&quot;http://schemas.openxmlformats.org/wordprocessingml/2006/main&quot;&gt;&lt;w:lang w:val=&quot;es-ES_tradnl&quot; /&gt;&lt;/w:rPr&gt;">
        <w:rPr/>
        <w:t xml:space="preserve">En la demanda el recurrente señala que la ejecución de la resolución recurrida le ocasionaría un grave perjuicio que difícilmente podría restablecerse en el caso de prosperar el recurso, lo que haría perder al amparo su finalidad. En este sentido invoca la doctrina de este Tribunal, y aduce que la suspensión de la pena privativa de libertad y de las accesorias no supondría una perturbación grave a los intereses generales, pues con ella tan sólo se produciría, en su caso, una demora en la ejecución de las mencionadas penas. Así pues nuestro análisis debe centrarse en la determinación de si ha de acordarse la suspensión de la ejecución de la pena privativa de libertad [y, en su caso, de la pena accesoria de privación del derecho de sufragio durante el tiempo de la condena privativa de libertad, que sigue la suerte de la principal -(por todos, AATC 258/2000, de 13 de noviembre, FJ 2, y 7/2001, de 15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circunstancias concurrentes en el caso nos muestran que la duración de la pena más onerosa de las impuestas, la de prisión, es de tres años, esto es, dentro del tiempo que este Tribunal viene habitualmente entendiendo que permite su suspensión por quedar comprendido dentro de la posible duración de la tramitación del recurso (ATC 269/1998, de 26 de noviembre); que no existe una particular lesión de los intereses generales distinta de la que en sí misma produce la suspensión de un fallo judicial y que de la no suspensión derivarían perjuicios y daños irreparables. Atendidas estas circunstancias se ha de otorgar la suspensión solicitada respecto a las penas privativas de libertad, pues, teniendo en cuenta su duración, el amparo podría perder su virtualidad, quedando así en entredicho la eficacia de un eventual fallo estimatorio. Dicha suspensión implicará, paralelamente, la de la pena accesoria de privación del derecho de sufragio durante el tiempo que dure la condena de prisión, al seguir la misma suerte que las penas principales a las que acompañan (entre otros muchos, AATC 144/1984, 267/1995, 301/1995, 7/1996, 152/1996, 87/1997, 286/1997, 182/1998, 271/1998, 114/2000, 286/2000, 63/2001).</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la condena en lo que se refiere a los pronunciamientos de contenido patrimonial -indemnización de 1.750.202 pesetas a la perjudicada doña Margarita Saenz de Villaverde y abono de las costas procesales- de conformidad con el criterio de este Tribunal de que, por tratarse de condenas de contenido económico, los perjuicios anejos a su ejecución son perfectamente reparables, incluso aunque se otorgase el amparo (AATC 371/1996, 91/1997, 182/1998, 273/1998, 189/2000, 193/2000 y 258/2000). Por otra parte ha de añadirse la consideración de que la suspensión de la ejecución en cuanto al pago de la indemnización, aparte de no haber sido interesada por el demandante de amparo, afectaría a los derechos de un tercero, concretamente, a los de la perjudicada, Sra. Saenz de Villaverde. En efecto, ésta vería sacrificado su derecho a la tutela judicial efectiva, en la vertiente relativa a la obtención de la ejecución de una sentencia que contiene un pronunciamiento favorable a sus intereses, con la circunstancia particular de que la cantidad a abonar está dirigida a indemnizar los daños y secuelas que la acción del actor y otros encausados produjo.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en cuanto al actor la ejecución de la Sentencia de la Sala de lo Penal del Tribunal Supremo de 28 de febrero de 2003, recaída en el recurso de casación núm. 858-2001, y de la Sentencia dictada por la Sección Segunda de la Audiencia Provincial</w:t>
      </w:r>
    </w:p>
    <w:p w:rsidRPr="" w:rsidR="00AD51A7" w:rsidRDefault="008777C4">
      <w:pPr>
        <w:rPr/>
      </w:pPr>
      <w:r w:rsidRPr="&lt;w:rPr xmlns:w=&quot;http://schemas.openxmlformats.org/wordprocessingml/2006/main&quot;&gt;&lt;w:szCs w:val=&quot;24&quot; /&gt;&lt;/w:rPr&gt;">
        <w:rPr/>
        <w:t xml:space="preserve">de Álava el 28 de junio de 2001, en el procedimiento abreviado núm. 137/99, rollo de Sala 13-2000, exclusivamente en lo referente a las penas privativas de libertad de tres años de prisión y dos fines de semana de arresto, y a la accesoria de privación</w:t>
      </w:r>
    </w:p>
    <w:p w:rsidRPr="" w:rsidR="00AD51A7" w:rsidRDefault="008777C4">
      <w:pPr>
        <w:rPr/>
      </w:pPr>
      <w:r w:rsidRPr="&lt;w:rPr xmlns:w=&quot;http://schemas.openxmlformats.org/wordprocessingml/2006/main&quot;&gt;&lt;w:szCs w:val=&quot;24&quot; /&gt;&lt;/w:rPr&gt;">
        <w:rPr/>
        <w:t xml:space="preserve">del derecho de sufragio durante el tiempo de la condena a la pena de prisión.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