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19 de abril de 2001 en el Registro General de este Tribunal, el Asesor Jurídico-Letrado de la Comunidad Foral de Navarra, actuando en representación de esta Administración, interpuso recurso de amparo contra la Sentencia de 20 de marzo de 2001, de la Sala de lo Contencioso- Administrativo del Tribunal Superior de Justicia de Navarra, por la que se estima el recurso contencioso-administrativo formulado frente al Acuerdo del Gobierno de Navarra de 23 de febrero de 1998, desestimatorio, a su vez, del recurso ordinario promovido contra la Orden Foral núm. 1804/1997, de 18 de abril,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1804/1997, de 18 de abril, el Consejero de Obras Públicas, Transportes y Comunicaciones impuso a don Manuel Piñol Pasto,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23 de febrero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el citado señor interpuso recurso contencioso-administrativo. Durante la tramitación de este recurso (y más en concreto una vez elevados los correspondientes escritos de conclusiones), la Sala de lo Contencioso- 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20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2193-2001.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