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 de agosto de 2001 en el Registro General de este Tribunal, la Asesora Jurídica-Letrada de la Comunidad Foral de Navarra, actuando en representación de esta Administración, interpuso recurso de amparo contra la Sentencia de 2 de julio de 2001, de la Sala de lo Contencioso-Administrativo del Tribunal Superior de Justicia de Navarra, por la que se estima el recurso contencioso-administrativo formulado frente al Acuerdo del Gobierno de Navarra de 27 de abril de 1998, desestimatorio, a su vez, del recurso ordinario promovido contra la Orden Foral de 23 de febrero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23 de febrero de 1998, el Consejero de Industria, Comercio, Turismo y Trabajo impuso a la mercantil "Recubrimientos Plásticos, S.A.", una sanción pecuniaria. </w:t>
      </w:r>
    </w:p>
    <w:p w:rsidRPr="00C21FFE" w:rsidR="00AD51A7" w:rsidRDefault="008777C4">
      <w:pPr>
        <w:rPr/>
      </w:pPr>
      <w:r w:rsidRPr="&lt;w:rPr xmlns:w=&quot;http://schemas.openxmlformats.org/wordprocessingml/2006/main&quot;&gt;&lt;w:lang w:val=&quot;es-ES_tradnl&quot; /&gt;&lt;/w:rPr&gt;">
        <w:rPr/>
        <w:t xml:space="preserve">b)Este acto administrativo sancionador fue confirmado en vía administrativa mediante el Acuerdo del Gobierno de Navarra de 27 de abril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2 de julio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4516-2001.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